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418" w14:textId="76DDD07A" w:rsidR="009469EE" w:rsidRPr="00C728CE" w:rsidRDefault="00191570" w:rsidP="00075E05">
      <w:pPr>
        <w:pStyle w:val="Frontcovertitle"/>
      </w:pPr>
      <w:r>
        <w:t>Disclosure of Interests Guidelines (Commissioners)</w:t>
      </w:r>
    </w:p>
    <w:p w14:paraId="020195AB" w14:textId="25F75DEB" w:rsidR="000C322B" w:rsidRDefault="00191570" w:rsidP="00191570">
      <w:pPr>
        <w:pStyle w:val="Reportsubtitle"/>
      </w:pPr>
      <w:r>
        <w:t xml:space="preserve">Section 21 of the </w:t>
      </w:r>
      <w:r w:rsidRPr="00F40A66">
        <w:rPr>
          <w:i/>
        </w:rPr>
        <w:t xml:space="preserve">Victorian </w:t>
      </w:r>
      <w:r w:rsidR="00176813">
        <w:rPr>
          <w:i/>
        </w:rPr>
        <w:t xml:space="preserve">Gambling and Casino Control </w:t>
      </w:r>
      <w:r w:rsidRPr="00F40A66">
        <w:rPr>
          <w:i/>
        </w:rPr>
        <w:t>Act 2011</w:t>
      </w:r>
    </w:p>
    <w:sdt>
      <w:sdtPr>
        <w:rPr>
          <w:color w:val="FFFFFF" w:themeColor="background1"/>
        </w:rPr>
        <w:alias w:val="Protective markings"/>
        <w:tag w:val="ProtectiveMarkings"/>
        <w:id w:val="281849102"/>
        <w:placeholder>
          <w:docPart w:val="ADF299A25C194C809096B3B01920309C"/>
        </w:placeholder>
        <w:dropDownList>
          <w:listItem w:value="Choose an item."/>
          <w:listItem w:displayText="OFFICIAL" w:value="OFFICIAL"/>
          <w:listItem w:displayText="OFFICIAL: Sensitive" w:value="OFFICIAL: Sensitive"/>
          <w:listItem w:displayText="OFFICIAL: Sensitive (Legal privilege)" w:value="OFFICIAL: Sensitive (Legal privilege)"/>
          <w:listItem w:displayText="OFFICIAL: Sensitive (Legislative secrecy)" w:value="OFFICIAL: Sensitive (Legislative secrecy)"/>
          <w:listItem w:displayText="OFFICIAL: Sensitive (Personal privacy)" w:value="OFFICIAL: Sensitive (Personal privacy)"/>
          <w:listItem w:displayText="PROTECTED" w:value="PROTECTED"/>
        </w:dropDownList>
      </w:sdtPr>
      <w:sdtContent>
        <w:p w14:paraId="11D77666" w14:textId="298F9BAF" w:rsidR="00914D79" w:rsidRDefault="00191570" w:rsidP="00914D79">
          <w:pPr>
            <w:pStyle w:val="Header"/>
            <w:spacing w:after="60"/>
            <w:rPr>
              <w:color w:val="FFFFFF" w:themeColor="background1"/>
            </w:rPr>
          </w:pPr>
          <w:r>
            <w:rPr>
              <w:color w:val="FFFFFF" w:themeColor="background1"/>
            </w:rPr>
            <w:t>OFFICIAL</w:t>
          </w:r>
        </w:p>
      </w:sdtContent>
    </w:sdt>
    <w:p w14:paraId="11E5E028" w14:textId="7ED6CB1E" w:rsidR="00215427" w:rsidRDefault="00215427" w:rsidP="00914D79">
      <w:pPr>
        <w:spacing w:after="60"/>
      </w:pPr>
      <w:r w:rsidRPr="00C728CE">
        <w:t xml:space="preserve">TRIM ID: </w:t>
      </w:r>
      <w:r w:rsidR="00191570">
        <w:t>CD/</w:t>
      </w:r>
      <w:r w:rsidR="00DE63A8">
        <w:t>23/6418</w:t>
      </w:r>
    </w:p>
    <w:p w14:paraId="3AD51262" w14:textId="09956ECB" w:rsidR="00215427" w:rsidRDefault="00215427" w:rsidP="00914D79">
      <w:pPr>
        <w:spacing w:after="60"/>
      </w:pPr>
      <w:r>
        <w:t>Date:</w:t>
      </w:r>
      <w:r w:rsidR="00191570">
        <w:t xml:space="preserve"> </w:t>
      </w:r>
      <w:r w:rsidR="003E4162">
        <w:t>28/6/2023</w:t>
      </w:r>
    </w:p>
    <w:p w14:paraId="1B2F07C1" w14:textId="31D36AFB" w:rsidR="00215427" w:rsidRDefault="00215427" w:rsidP="00914D79">
      <w:pPr>
        <w:spacing w:after="60"/>
      </w:pPr>
      <w:r>
        <w:t>Version</w:t>
      </w:r>
      <w:r w:rsidR="00191570">
        <w:t xml:space="preserve">: </w:t>
      </w:r>
      <w:r w:rsidR="004B0B1E">
        <w:t>8</w:t>
      </w:r>
      <w:r w:rsidR="00191570">
        <w:t>.0</w:t>
      </w:r>
    </w:p>
    <w:p w14:paraId="409578B7" w14:textId="4144ED75" w:rsidR="009C78A9" w:rsidRDefault="009C78A9" w:rsidP="00914D79">
      <w:pPr>
        <w:spacing w:after="60"/>
      </w:pPr>
    </w:p>
    <w:p w14:paraId="76493BE5" w14:textId="77777777" w:rsidR="00914D79" w:rsidRDefault="00914D79">
      <w:pPr>
        <w:spacing w:after="0"/>
        <w:rPr>
          <w:rFonts w:eastAsiaTheme="majorEastAsia" w:cs="Times New Roman (Headings CS)"/>
          <w:sz w:val="36"/>
          <w:szCs w:val="32"/>
        </w:rPr>
      </w:pPr>
      <w:r>
        <w:rPr>
          <w:b/>
          <w:sz w:val="36"/>
        </w:rPr>
        <w:br w:type="page"/>
      </w:r>
    </w:p>
    <w:p w14:paraId="728BB6A6" w14:textId="77777777" w:rsidR="006C10DA" w:rsidRPr="00CD69BF" w:rsidRDefault="006C10DA" w:rsidP="00CD69BF">
      <w:pPr>
        <w:pStyle w:val="TOCHeading1"/>
      </w:pPr>
      <w:r w:rsidRPr="00CD69BF">
        <w:lastRenderedPageBreak/>
        <w:t>Table of contents</w:t>
      </w:r>
    </w:p>
    <w:p w14:paraId="0247E276" w14:textId="09EE9800" w:rsidR="008C0AE8" w:rsidRDefault="00D41FDD">
      <w:pPr>
        <w:pStyle w:val="TOC1"/>
        <w:tabs>
          <w:tab w:val="left" w:pos="397"/>
          <w:tab w:val="right" w:leader="dot" w:pos="10188"/>
        </w:tabs>
        <w:rPr>
          <w:rFonts w:asciiTheme="minorHAnsi" w:eastAsiaTheme="minorEastAsia" w:hAnsiTheme="minorHAnsi"/>
          <w:noProof/>
          <w:kern w:val="2"/>
          <w:sz w:val="22"/>
          <w:szCs w:val="22"/>
          <w:lang w:val="en-AU" w:eastAsia="en-AU"/>
          <w14:ligatures w14:val="standardContextual"/>
        </w:rPr>
      </w:pPr>
      <w:r>
        <w:rPr>
          <w:lang w:val="en-AU"/>
        </w:rPr>
        <w:fldChar w:fldCharType="begin"/>
      </w:r>
      <w:r>
        <w:rPr>
          <w:lang w:val="en-AU"/>
        </w:rPr>
        <w:instrText xml:space="preserve"> TOC \o "3-3" \h \z \t "Heading 1,1,Heading 2,2" </w:instrText>
      </w:r>
      <w:r>
        <w:rPr>
          <w:lang w:val="en-AU"/>
        </w:rPr>
        <w:fldChar w:fldCharType="separate"/>
      </w:r>
      <w:hyperlink w:anchor="_Toc150497258" w:history="1">
        <w:r w:rsidR="008C0AE8" w:rsidRPr="004D588E">
          <w:rPr>
            <w:rStyle w:val="Hyperlink"/>
            <w:noProof/>
          </w:rPr>
          <w:t>1</w:t>
        </w:r>
        <w:r w:rsidR="008C0AE8">
          <w:rPr>
            <w:rFonts w:asciiTheme="minorHAnsi" w:eastAsiaTheme="minorEastAsia" w:hAnsiTheme="minorHAnsi"/>
            <w:noProof/>
            <w:kern w:val="2"/>
            <w:sz w:val="22"/>
            <w:szCs w:val="22"/>
            <w:lang w:val="en-AU" w:eastAsia="en-AU"/>
            <w14:ligatures w14:val="standardContextual"/>
          </w:rPr>
          <w:tab/>
        </w:r>
        <w:r w:rsidR="008C0AE8" w:rsidRPr="004D588E">
          <w:rPr>
            <w:rStyle w:val="Hyperlink"/>
            <w:noProof/>
          </w:rPr>
          <w:t>Introduction</w:t>
        </w:r>
        <w:r w:rsidR="008C0AE8">
          <w:rPr>
            <w:noProof/>
            <w:webHidden/>
          </w:rPr>
          <w:tab/>
        </w:r>
        <w:r w:rsidR="008C0AE8">
          <w:rPr>
            <w:noProof/>
            <w:webHidden/>
          </w:rPr>
          <w:fldChar w:fldCharType="begin"/>
        </w:r>
        <w:r w:rsidR="008C0AE8">
          <w:rPr>
            <w:noProof/>
            <w:webHidden/>
          </w:rPr>
          <w:instrText xml:space="preserve"> PAGEREF _Toc150497258 \h </w:instrText>
        </w:r>
        <w:r w:rsidR="008C0AE8">
          <w:rPr>
            <w:noProof/>
            <w:webHidden/>
          </w:rPr>
        </w:r>
        <w:r w:rsidR="008C0AE8">
          <w:rPr>
            <w:noProof/>
            <w:webHidden/>
          </w:rPr>
          <w:fldChar w:fldCharType="separate"/>
        </w:r>
        <w:r w:rsidR="008C0AE8">
          <w:rPr>
            <w:noProof/>
            <w:webHidden/>
          </w:rPr>
          <w:t>3</w:t>
        </w:r>
        <w:r w:rsidR="008C0AE8">
          <w:rPr>
            <w:noProof/>
            <w:webHidden/>
          </w:rPr>
          <w:fldChar w:fldCharType="end"/>
        </w:r>
      </w:hyperlink>
    </w:p>
    <w:p w14:paraId="1AC77860" w14:textId="741934D2"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59" w:history="1">
        <w:r w:rsidRPr="004D588E">
          <w:rPr>
            <w:rStyle w:val="Hyperlink"/>
            <w:noProof/>
          </w:rPr>
          <w:t>1.1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Context of these guidelines</w:t>
        </w:r>
        <w:r>
          <w:rPr>
            <w:noProof/>
            <w:webHidden/>
          </w:rPr>
          <w:tab/>
        </w:r>
        <w:r>
          <w:rPr>
            <w:noProof/>
            <w:webHidden/>
          </w:rPr>
          <w:fldChar w:fldCharType="begin"/>
        </w:r>
        <w:r>
          <w:rPr>
            <w:noProof/>
            <w:webHidden/>
          </w:rPr>
          <w:instrText xml:space="preserve"> PAGEREF _Toc150497259 \h </w:instrText>
        </w:r>
        <w:r>
          <w:rPr>
            <w:noProof/>
            <w:webHidden/>
          </w:rPr>
        </w:r>
        <w:r>
          <w:rPr>
            <w:noProof/>
            <w:webHidden/>
          </w:rPr>
          <w:fldChar w:fldCharType="separate"/>
        </w:r>
        <w:r>
          <w:rPr>
            <w:noProof/>
            <w:webHidden/>
          </w:rPr>
          <w:t>3</w:t>
        </w:r>
        <w:r>
          <w:rPr>
            <w:noProof/>
            <w:webHidden/>
          </w:rPr>
          <w:fldChar w:fldCharType="end"/>
        </w:r>
      </w:hyperlink>
    </w:p>
    <w:p w14:paraId="7161B47F" w14:textId="0C2E8C49"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0" w:history="1">
        <w:r w:rsidRPr="004D588E">
          <w:rPr>
            <w:rStyle w:val="Hyperlink"/>
            <w:noProof/>
          </w:rPr>
          <w:t>1.2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Document purpose</w:t>
        </w:r>
        <w:r>
          <w:rPr>
            <w:noProof/>
            <w:webHidden/>
          </w:rPr>
          <w:tab/>
        </w:r>
        <w:r>
          <w:rPr>
            <w:noProof/>
            <w:webHidden/>
          </w:rPr>
          <w:fldChar w:fldCharType="begin"/>
        </w:r>
        <w:r>
          <w:rPr>
            <w:noProof/>
            <w:webHidden/>
          </w:rPr>
          <w:instrText xml:space="preserve"> PAGEREF _Toc150497260 \h </w:instrText>
        </w:r>
        <w:r>
          <w:rPr>
            <w:noProof/>
            <w:webHidden/>
          </w:rPr>
        </w:r>
        <w:r>
          <w:rPr>
            <w:noProof/>
            <w:webHidden/>
          </w:rPr>
          <w:fldChar w:fldCharType="separate"/>
        </w:r>
        <w:r>
          <w:rPr>
            <w:noProof/>
            <w:webHidden/>
          </w:rPr>
          <w:t>3</w:t>
        </w:r>
        <w:r>
          <w:rPr>
            <w:noProof/>
            <w:webHidden/>
          </w:rPr>
          <w:fldChar w:fldCharType="end"/>
        </w:r>
      </w:hyperlink>
    </w:p>
    <w:p w14:paraId="4C5650C4" w14:textId="14C4B7C2"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1" w:history="1">
        <w:r w:rsidRPr="004D588E">
          <w:rPr>
            <w:rStyle w:val="Hyperlink"/>
            <w:noProof/>
          </w:rPr>
          <w:t>1.3</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Legislative context</w:t>
        </w:r>
        <w:r>
          <w:rPr>
            <w:noProof/>
            <w:webHidden/>
          </w:rPr>
          <w:tab/>
        </w:r>
        <w:r>
          <w:rPr>
            <w:noProof/>
            <w:webHidden/>
          </w:rPr>
          <w:fldChar w:fldCharType="begin"/>
        </w:r>
        <w:r>
          <w:rPr>
            <w:noProof/>
            <w:webHidden/>
          </w:rPr>
          <w:instrText xml:space="preserve"> PAGEREF _Toc150497261 \h </w:instrText>
        </w:r>
        <w:r>
          <w:rPr>
            <w:noProof/>
            <w:webHidden/>
          </w:rPr>
        </w:r>
        <w:r>
          <w:rPr>
            <w:noProof/>
            <w:webHidden/>
          </w:rPr>
          <w:fldChar w:fldCharType="separate"/>
        </w:r>
        <w:r>
          <w:rPr>
            <w:noProof/>
            <w:webHidden/>
          </w:rPr>
          <w:t>3</w:t>
        </w:r>
        <w:r>
          <w:rPr>
            <w:noProof/>
            <w:webHidden/>
          </w:rPr>
          <w:fldChar w:fldCharType="end"/>
        </w:r>
      </w:hyperlink>
    </w:p>
    <w:p w14:paraId="266546F2" w14:textId="77290EB0"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62" w:history="1">
        <w:r w:rsidRPr="004D588E">
          <w:rPr>
            <w:rStyle w:val="Hyperlink"/>
            <w:noProof/>
          </w:rPr>
          <w:t>1.3.1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Section 21 VGCCC Act</w:t>
        </w:r>
        <w:r>
          <w:rPr>
            <w:noProof/>
            <w:webHidden/>
          </w:rPr>
          <w:tab/>
        </w:r>
        <w:r>
          <w:rPr>
            <w:noProof/>
            <w:webHidden/>
          </w:rPr>
          <w:fldChar w:fldCharType="begin"/>
        </w:r>
        <w:r>
          <w:rPr>
            <w:noProof/>
            <w:webHidden/>
          </w:rPr>
          <w:instrText xml:space="preserve"> PAGEREF _Toc150497262 \h </w:instrText>
        </w:r>
        <w:r>
          <w:rPr>
            <w:noProof/>
            <w:webHidden/>
          </w:rPr>
        </w:r>
        <w:r>
          <w:rPr>
            <w:noProof/>
            <w:webHidden/>
          </w:rPr>
          <w:fldChar w:fldCharType="separate"/>
        </w:r>
        <w:r>
          <w:rPr>
            <w:noProof/>
            <w:webHidden/>
          </w:rPr>
          <w:t>3</w:t>
        </w:r>
        <w:r>
          <w:rPr>
            <w:noProof/>
            <w:webHidden/>
          </w:rPr>
          <w:fldChar w:fldCharType="end"/>
        </w:r>
      </w:hyperlink>
    </w:p>
    <w:p w14:paraId="165F804B" w14:textId="3384B533"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63" w:history="1">
        <w:r w:rsidRPr="004D588E">
          <w:rPr>
            <w:rStyle w:val="Hyperlink"/>
            <w:noProof/>
          </w:rPr>
          <w:t>1.3.2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Relationship with the Section 21 VGCCC Act, the PA Act and the Code of Conduct for Directors of Victorian Public Entities 2016</w:t>
        </w:r>
        <w:r>
          <w:rPr>
            <w:noProof/>
            <w:webHidden/>
          </w:rPr>
          <w:tab/>
        </w:r>
        <w:r>
          <w:rPr>
            <w:noProof/>
            <w:webHidden/>
          </w:rPr>
          <w:fldChar w:fldCharType="begin"/>
        </w:r>
        <w:r>
          <w:rPr>
            <w:noProof/>
            <w:webHidden/>
          </w:rPr>
          <w:instrText xml:space="preserve"> PAGEREF _Toc150497263 \h </w:instrText>
        </w:r>
        <w:r>
          <w:rPr>
            <w:noProof/>
            <w:webHidden/>
          </w:rPr>
        </w:r>
        <w:r>
          <w:rPr>
            <w:noProof/>
            <w:webHidden/>
          </w:rPr>
          <w:fldChar w:fldCharType="separate"/>
        </w:r>
        <w:r>
          <w:rPr>
            <w:noProof/>
            <w:webHidden/>
          </w:rPr>
          <w:t>4</w:t>
        </w:r>
        <w:r>
          <w:rPr>
            <w:noProof/>
            <w:webHidden/>
          </w:rPr>
          <w:fldChar w:fldCharType="end"/>
        </w:r>
      </w:hyperlink>
    </w:p>
    <w:p w14:paraId="68C97092" w14:textId="79906118"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4" w:history="1">
        <w:r w:rsidRPr="004D588E">
          <w:rPr>
            <w:rStyle w:val="Hyperlink"/>
            <w:noProof/>
          </w:rPr>
          <w:t>1.4</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Application</w:t>
        </w:r>
        <w:r>
          <w:rPr>
            <w:noProof/>
            <w:webHidden/>
          </w:rPr>
          <w:tab/>
        </w:r>
        <w:r>
          <w:rPr>
            <w:noProof/>
            <w:webHidden/>
          </w:rPr>
          <w:fldChar w:fldCharType="begin"/>
        </w:r>
        <w:r>
          <w:rPr>
            <w:noProof/>
            <w:webHidden/>
          </w:rPr>
          <w:instrText xml:space="preserve"> PAGEREF _Toc150497264 \h </w:instrText>
        </w:r>
        <w:r>
          <w:rPr>
            <w:noProof/>
            <w:webHidden/>
          </w:rPr>
        </w:r>
        <w:r>
          <w:rPr>
            <w:noProof/>
            <w:webHidden/>
          </w:rPr>
          <w:fldChar w:fldCharType="separate"/>
        </w:r>
        <w:r>
          <w:rPr>
            <w:noProof/>
            <w:webHidden/>
          </w:rPr>
          <w:t>4</w:t>
        </w:r>
        <w:r>
          <w:rPr>
            <w:noProof/>
            <w:webHidden/>
          </w:rPr>
          <w:fldChar w:fldCharType="end"/>
        </w:r>
      </w:hyperlink>
    </w:p>
    <w:p w14:paraId="12F07B24" w14:textId="41BBAD17"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5" w:history="1">
        <w:r w:rsidRPr="004D588E">
          <w:rPr>
            <w:rStyle w:val="Hyperlink"/>
            <w:noProof/>
          </w:rPr>
          <w:t>1.5</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Date effective</w:t>
        </w:r>
        <w:r>
          <w:rPr>
            <w:noProof/>
            <w:webHidden/>
          </w:rPr>
          <w:tab/>
        </w:r>
        <w:r>
          <w:rPr>
            <w:noProof/>
            <w:webHidden/>
          </w:rPr>
          <w:fldChar w:fldCharType="begin"/>
        </w:r>
        <w:r>
          <w:rPr>
            <w:noProof/>
            <w:webHidden/>
          </w:rPr>
          <w:instrText xml:space="preserve"> PAGEREF _Toc150497265 \h </w:instrText>
        </w:r>
        <w:r>
          <w:rPr>
            <w:noProof/>
            <w:webHidden/>
          </w:rPr>
        </w:r>
        <w:r>
          <w:rPr>
            <w:noProof/>
            <w:webHidden/>
          </w:rPr>
          <w:fldChar w:fldCharType="separate"/>
        </w:r>
        <w:r>
          <w:rPr>
            <w:noProof/>
            <w:webHidden/>
          </w:rPr>
          <w:t>4</w:t>
        </w:r>
        <w:r>
          <w:rPr>
            <w:noProof/>
            <w:webHidden/>
          </w:rPr>
          <w:fldChar w:fldCharType="end"/>
        </w:r>
      </w:hyperlink>
    </w:p>
    <w:p w14:paraId="2EB0CF59" w14:textId="26F6346B"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6" w:history="1">
        <w:r w:rsidRPr="004D588E">
          <w:rPr>
            <w:rStyle w:val="Hyperlink"/>
            <w:noProof/>
          </w:rPr>
          <w:t>1.6</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Date for review</w:t>
        </w:r>
        <w:r>
          <w:rPr>
            <w:noProof/>
            <w:webHidden/>
          </w:rPr>
          <w:tab/>
        </w:r>
        <w:r>
          <w:rPr>
            <w:noProof/>
            <w:webHidden/>
          </w:rPr>
          <w:fldChar w:fldCharType="begin"/>
        </w:r>
        <w:r>
          <w:rPr>
            <w:noProof/>
            <w:webHidden/>
          </w:rPr>
          <w:instrText xml:space="preserve"> PAGEREF _Toc150497266 \h </w:instrText>
        </w:r>
        <w:r>
          <w:rPr>
            <w:noProof/>
            <w:webHidden/>
          </w:rPr>
        </w:r>
        <w:r>
          <w:rPr>
            <w:noProof/>
            <w:webHidden/>
          </w:rPr>
          <w:fldChar w:fldCharType="separate"/>
        </w:r>
        <w:r>
          <w:rPr>
            <w:noProof/>
            <w:webHidden/>
          </w:rPr>
          <w:t>4</w:t>
        </w:r>
        <w:r>
          <w:rPr>
            <w:noProof/>
            <w:webHidden/>
          </w:rPr>
          <w:fldChar w:fldCharType="end"/>
        </w:r>
      </w:hyperlink>
    </w:p>
    <w:p w14:paraId="500F56CF" w14:textId="5F6CB920"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7" w:history="1">
        <w:r w:rsidRPr="004D588E">
          <w:rPr>
            <w:rStyle w:val="Hyperlink"/>
            <w:noProof/>
          </w:rPr>
          <w:t>1.7</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Responsible officer</w:t>
        </w:r>
        <w:r>
          <w:rPr>
            <w:noProof/>
            <w:webHidden/>
          </w:rPr>
          <w:tab/>
        </w:r>
        <w:r>
          <w:rPr>
            <w:noProof/>
            <w:webHidden/>
          </w:rPr>
          <w:fldChar w:fldCharType="begin"/>
        </w:r>
        <w:r>
          <w:rPr>
            <w:noProof/>
            <w:webHidden/>
          </w:rPr>
          <w:instrText xml:space="preserve"> PAGEREF _Toc150497267 \h </w:instrText>
        </w:r>
        <w:r>
          <w:rPr>
            <w:noProof/>
            <w:webHidden/>
          </w:rPr>
        </w:r>
        <w:r>
          <w:rPr>
            <w:noProof/>
            <w:webHidden/>
          </w:rPr>
          <w:fldChar w:fldCharType="separate"/>
        </w:r>
        <w:r>
          <w:rPr>
            <w:noProof/>
            <w:webHidden/>
          </w:rPr>
          <w:t>4</w:t>
        </w:r>
        <w:r>
          <w:rPr>
            <w:noProof/>
            <w:webHidden/>
          </w:rPr>
          <w:fldChar w:fldCharType="end"/>
        </w:r>
      </w:hyperlink>
    </w:p>
    <w:p w14:paraId="778215FE" w14:textId="48E2510E" w:rsidR="008C0AE8" w:rsidRDefault="008C0AE8">
      <w:pPr>
        <w:pStyle w:val="TOC1"/>
        <w:tabs>
          <w:tab w:val="left" w:pos="397"/>
          <w:tab w:val="right" w:leader="dot" w:pos="10188"/>
        </w:tabs>
        <w:rPr>
          <w:rFonts w:asciiTheme="minorHAnsi" w:eastAsiaTheme="minorEastAsia" w:hAnsiTheme="minorHAnsi"/>
          <w:noProof/>
          <w:kern w:val="2"/>
          <w:sz w:val="22"/>
          <w:szCs w:val="22"/>
          <w:lang w:val="en-AU" w:eastAsia="en-AU"/>
          <w14:ligatures w14:val="standardContextual"/>
        </w:rPr>
      </w:pPr>
      <w:hyperlink w:anchor="_Toc150497268" w:history="1">
        <w:r w:rsidRPr="004D588E">
          <w:rPr>
            <w:rStyle w:val="Hyperlink"/>
            <w:noProof/>
          </w:rPr>
          <w:t>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Conflicts of interests</w:t>
        </w:r>
        <w:r>
          <w:rPr>
            <w:noProof/>
            <w:webHidden/>
          </w:rPr>
          <w:tab/>
        </w:r>
        <w:r>
          <w:rPr>
            <w:noProof/>
            <w:webHidden/>
          </w:rPr>
          <w:fldChar w:fldCharType="begin"/>
        </w:r>
        <w:r>
          <w:rPr>
            <w:noProof/>
            <w:webHidden/>
          </w:rPr>
          <w:instrText xml:space="preserve"> PAGEREF _Toc150497268 \h </w:instrText>
        </w:r>
        <w:r>
          <w:rPr>
            <w:noProof/>
            <w:webHidden/>
          </w:rPr>
        </w:r>
        <w:r>
          <w:rPr>
            <w:noProof/>
            <w:webHidden/>
          </w:rPr>
          <w:fldChar w:fldCharType="separate"/>
        </w:r>
        <w:r>
          <w:rPr>
            <w:noProof/>
            <w:webHidden/>
          </w:rPr>
          <w:t>4</w:t>
        </w:r>
        <w:r>
          <w:rPr>
            <w:noProof/>
            <w:webHidden/>
          </w:rPr>
          <w:fldChar w:fldCharType="end"/>
        </w:r>
      </w:hyperlink>
    </w:p>
    <w:p w14:paraId="5492A676" w14:textId="4EA16AAB"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69" w:history="1">
        <w:r w:rsidRPr="004D588E">
          <w:rPr>
            <w:rStyle w:val="Hyperlink"/>
            <w:noProof/>
          </w:rPr>
          <w:t>2.1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Definitions</w:t>
        </w:r>
        <w:r>
          <w:rPr>
            <w:noProof/>
            <w:webHidden/>
          </w:rPr>
          <w:tab/>
        </w:r>
        <w:r>
          <w:rPr>
            <w:noProof/>
            <w:webHidden/>
          </w:rPr>
          <w:fldChar w:fldCharType="begin"/>
        </w:r>
        <w:r>
          <w:rPr>
            <w:noProof/>
            <w:webHidden/>
          </w:rPr>
          <w:instrText xml:space="preserve"> PAGEREF _Toc150497269 \h </w:instrText>
        </w:r>
        <w:r>
          <w:rPr>
            <w:noProof/>
            <w:webHidden/>
          </w:rPr>
        </w:r>
        <w:r>
          <w:rPr>
            <w:noProof/>
            <w:webHidden/>
          </w:rPr>
          <w:fldChar w:fldCharType="separate"/>
        </w:r>
        <w:r>
          <w:rPr>
            <w:noProof/>
            <w:webHidden/>
          </w:rPr>
          <w:t>4</w:t>
        </w:r>
        <w:r>
          <w:rPr>
            <w:noProof/>
            <w:webHidden/>
          </w:rPr>
          <w:fldChar w:fldCharType="end"/>
        </w:r>
      </w:hyperlink>
    </w:p>
    <w:p w14:paraId="1908DA01" w14:textId="1A3F3480"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70" w:history="1">
        <w:r w:rsidRPr="004D588E">
          <w:rPr>
            <w:rStyle w:val="Hyperlink"/>
            <w:noProof/>
          </w:rPr>
          <w:t>2.2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What types of interests should be disclosed</w:t>
        </w:r>
        <w:r>
          <w:rPr>
            <w:noProof/>
            <w:webHidden/>
          </w:rPr>
          <w:tab/>
        </w:r>
        <w:r>
          <w:rPr>
            <w:noProof/>
            <w:webHidden/>
          </w:rPr>
          <w:fldChar w:fldCharType="begin"/>
        </w:r>
        <w:r>
          <w:rPr>
            <w:noProof/>
            <w:webHidden/>
          </w:rPr>
          <w:instrText xml:space="preserve"> PAGEREF _Toc150497270 \h </w:instrText>
        </w:r>
        <w:r>
          <w:rPr>
            <w:noProof/>
            <w:webHidden/>
          </w:rPr>
        </w:r>
        <w:r>
          <w:rPr>
            <w:noProof/>
            <w:webHidden/>
          </w:rPr>
          <w:fldChar w:fldCharType="separate"/>
        </w:r>
        <w:r>
          <w:rPr>
            <w:noProof/>
            <w:webHidden/>
          </w:rPr>
          <w:t>5</w:t>
        </w:r>
        <w:r>
          <w:rPr>
            <w:noProof/>
            <w:webHidden/>
          </w:rPr>
          <w:fldChar w:fldCharType="end"/>
        </w:r>
      </w:hyperlink>
    </w:p>
    <w:p w14:paraId="03A029BD" w14:textId="44ECB679"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71" w:history="1">
        <w:r w:rsidRPr="004D588E">
          <w:rPr>
            <w:rStyle w:val="Hyperlink"/>
            <w:noProof/>
          </w:rPr>
          <w:t>2.2.1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Types of interests</w:t>
        </w:r>
        <w:r>
          <w:rPr>
            <w:noProof/>
            <w:webHidden/>
          </w:rPr>
          <w:tab/>
        </w:r>
        <w:r>
          <w:rPr>
            <w:noProof/>
            <w:webHidden/>
          </w:rPr>
          <w:fldChar w:fldCharType="begin"/>
        </w:r>
        <w:r>
          <w:rPr>
            <w:noProof/>
            <w:webHidden/>
          </w:rPr>
          <w:instrText xml:space="preserve"> PAGEREF _Toc150497271 \h </w:instrText>
        </w:r>
        <w:r>
          <w:rPr>
            <w:noProof/>
            <w:webHidden/>
          </w:rPr>
        </w:r>
        <w:r>
          <w:rPr>
            <w:noProof/>
            <w:webHidden/>
          </w:rPr>
          <w:fldChar w:fldCharType="separate"/>
        </w:r>
        <w:r>
          <w:rPr>
            <w:noProof/>
            <w:webHidden/>
          </w:rPr>
          <w:t>6</w:t>
        </w:r>
        <w:r>
          <w:rPr>
            <w:noProof/>
            <w:webHidden/>
          </w:rPr>
          <w:fldChar w:fldCharType="end"/>
        </w:r>
      </w:hyperlink>
    </w:p>
    <w:p w14:paraId="326DF52D" w14:textId="0D2CB47E" w:rsidR="008C0AE8" w:rsidRDefault="008C0AE8">
      <w:pPr>
        <w:pStyle w:val="TOC1"/>
        <w:tabs>
          <w:tab w:val="left" w:pos="397"/>
          <w:tab w:val="right" w:leader="dot" w:pos="10188"/>
        </w:tabs>
        <w:rPr>
          <w:rFonts w:asciiTheme="minorHAnsi" w:eastAsiaTheme="minorEastAsia" w:hAnsiTheme="minorHAnsi"/>
          <w:noProof/>
          <w:kern w:val="2"/>
          <w:sz w:val="22"/>
          <w:szCs w:val="22"/>
          <w:lang w:val="en-AU" w:eastAsia="en-AU"/>
          <w14:ligatures w14:val="standardContextual"/>
        </w:rPr>
      </w:pPr>
      <w:hyperlink w:anchor="_Toc150497272" w:history="1">
        <w:r w:rsidRPr="004D588E">
          <w:rPr>
            <w:rStyle w:val="Hyperlink"/>
            <w:noProof/>
          </w:rPr>
          <w:t>3</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Disclosure of interests</w:t>
        </w:r>
        <w:r>
          <w:rPr>
            <w:noProof/>
            <w:webHidden/>
          </w:rPr>
          <w:tab/>
        </w:r>
        <w:r>
          <w:rPr>
            <w:noProof/>
            <w:webHidden/>
          </w:rPr>
          <w:fldChar w:fldCharType="begin"/>
        </w:r>
        <w:r>
          <w:rPr>
            <w:noProof/>
            <w:webHidden/>
          </w:rPr>
          <w:instrText xml:space="preserve"> PAGEREF _Toc150497272 \h </w:instrText>
        </w:r>
        <w:r>
          <w:rPr>
            <w:noProof/>
            <w:webHidden/>
          </w:rPr>
        </w:r>
        <w:r>
          <w:rPr>
            <w:noProof/>
            <w:webHidden/>
          </w:rPr>
          <w:fldChar w:fldCharType="separate"/>
        </w:r>
        <w:r>
          <w:rPr>
            <w:noProof/>
            <w:webHidden/>
          </w:rPr>
          <w:t>7</w:t>
        </w:r>
        <w:r>
          <w:rPr>
            <w:noProof/>
            <w:webHidden/>
          </w:rPr>
          <w:fldChar w:fldCharType="end"/>
        </w:r>
      </w:hyperlink>
    </w:p>
    <w:p w14:paraId="3F639E0F" w14:textId="59230F43"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73" w:history="1">
        <w:r w:rsidRPr="004D588E">
          <w:rPr>
            <w:rStyle w:val="Hyperlink"/>
            <w:noProof/>
          </w:rPr>
          <w:t>3.1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Annual declaration of private interests</w:t>
        </w:r>
        <w:r>
          <w:rPr>
            <w:noProof/>
            <w:webHidden/>
          </w:rPr>
          <w:tab/>
        </w:r>
        <w:r>
          <w:rPr>
            <w:noProof/>
            <w:webHidden/>
          </w:rPr>
          <w:fldChar w:fldCharType="begin"/>
        </w:r>
        <w:r>
          <w:rPr>
            <w:noProof/>
            <w:webHidden/>
          </w:rPr>
          <w:instrText xml:space="preserve"> PAGEREF _Toc150497273 \h </w:instrText>
        </w:r>
        <w:r>
          <w:rPr>
            <w:noProof/>
            <w:webHidden/>
          </w:rPr>
        </w:r>
        <w:r>
          <w:rPr>
            <w:noProof/>
            <w:webHidden/>
          </w:rPr>
          <w:fldChar w:fldCharType="separate"/>
        </w:r>
        <w:r>
          <w:rPr>
            <w:noProof/>
            <w:webHidden/>
          </w:rPr>
          <w:t>7</w:t>
        </w:r>
        <w:r>
          <w:rPr>
            <w:noProof/>
            <w:webHidden/>
          </w:rPr>
          <w:fldChar w:fldCharType="end"/>
        </w:r>
      </w:hyperlink>
    </w:p>
    <w:p w14:paraId="6BB36FB3" w14:textId="318B6CA7"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74" w:history="1">
        <w:r w:rsidRPr="004D588E">
          <w:rPr>
            <w:rStyle w:val="Hyperlink"/>
            <w:noProof/>
          </w:rPr>
          <w:t>3.2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The Register of Interests</w:t>
        </w:r>
        <w:r>
          <w:rPr>
            <w:noProof/>
            <w:webHidden/>
          </w:rPr>
          <w:tab/>
        </w:r>
        <w:r>
          <w:rPr>
            <w:noProof/>
            <w:webHidden/>
          </w:rPr>
          <w:fldChar w:fldCharType="begin"/>
        </w:r>
        <w:r>
          <w:rPr>
            <w:noProof/>
            <w:webHidden/>
          </w:rPr>
          <w:instrText xml:space="preserve"> PAGEREF _Toc150497274 \h </w:instrText>
        </w:r>
        <w:r>
          <w:rPr>
            <w:noProof/>
            <w:webHidden/>
          </w:rPr>
        </w:r>
        <w:r>
          <w:rPr>
            <w:noProof/>
            <w:webHidden/>
          </w:rPr>
          <w:fldChar w:fldCharType="separate"/>
        </w:r>
        <w:r>
          <w:rPr>
            <w:noProof/>
            <w:webHidden/>
          </w:rPr>
          <w:t>7</w:t>
        </w:r>
        <w:r>
          <w:rPr>
            <w:noProof/>
            <w:webHidden/>
          </w:rPr>
          <w:fldChar w:fldCharType="end"/>
        </w:r>
      </w:hyperlink>
    </w:p>
    <w:p w14:paraId="5DD12674" w14:textId="02BB552E"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75" w:history="1">
        <w:r w:rsidRPr="004D588E">
          <w:rPr>
            <w:rStyle w:val="Hyperlink"/>
            <w:noProof/>
          </w:rPr>
          <w:t>3.2.1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Confirmation at start of Commission meetings that the register is complete and correct</w:t>
        </w:r>
        <w:r>
          <w:rPr>
            <w:noProof/>
            <w:webHidden/>
          </w:rPr>
          <w:tab/>
        </w:r>
        <w:r>
          <w:rPr>
            <w:noProof/>
            <w:webHidden/>
          </w:rPr>
          <w:fldChar w:fldCharType="begin"/>
        </w:r>
        <w:r>
          <w:rPr>
            <w:noProof/>
            <w:webHidden/>
          </w:rPr>
          <w:instrText xml:space="preserve"> PAGEREF _Toc150497275 \h </w:instrText>
        </w:r>
        <w:r>
          <w:rPr>
            <w:noProof/>
            <w:webHidden/>
          </w:rPr>
        </w:r>
        <w:r>
          <w:rPr>
            <w:noProof/>
            <w:webHidden/>
          </w:rPr>
          <w:fldChar w:fldCharType="separate"/>
        </w:r>
        <w:r>
          <w:rPr>
            <w:noProof/>
            <w:webHidden/>
          </w:rPr>
          <w:t>7</w:t>
        </w:r>
        <w:r>
          <w:rPr>
            <w:noProof/>
            <w:webHidden/>
          </w:rPr>
          <w:fldChar w:fldCharType="end"/>
        </w:r>
      </w:hyperlink>
    </w:p>
    <w:p w14:paraId="3BBD16DE" w14:textId="064102B2"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76" w:history="1">
        <w:r w:rsidRPr="004D588E">
          <w:rPr>
            <w:rStyle w:val="Hyperlink"/>
            <w:noProof/>
          </w:rPr>
          <w:t>3.2.2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Updating the register</w:t>
        </w:r>
        <w:r>
          <w:rPr>
            <w:noProof/>
            <w:webHidden/>
          </w:rPr>
          <w:tab/>
        </w:r>
        <w:r>
          <w:rPr>
            <w:noProof/>
            <w:webHidden/>
          </w:rPr>
          <w:fldChar w:fldCharType="begin"/>
        </w:r>
        <w:r>
          <w:rPr>
            <w:noProof/>
            <w:webHidden/>
          </w:rPr>
          <w:instrText xml:space="preserve"> PAGEREF _Toc150497276 \h </w:instrText>
        </w:r>
        <w:r>
          <w:rPr>
            <w:noProof/>
            <w:webHidden/>
          </w:rPr>
        </w:r>
        <w:r>
          <w:rPr>
            <w:noProof/>
            <w:webHidden/>
          </w:rPr>
          <w:fldChar w:fldCharType="separate"/>
        </w:r>
        <w:r>
          <w:rPr>
            <w:noProof/>
            <w:webHidden/>
          </w:rPr>
          <w:t>7</w:t>
        </w:r>
        <w:r>
          <w:rPr>
            <w:noProof/>
            <w:webHidden/>
          </w:rPr>
          <w:fldChar w:fldCharType="end"/>
        </w:r>
      </w:hyperlink>
    </w:p>
    <w:p w14:paraId="60231D9C" w14:textId="668565F4"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77" w:history="1">
        <w:r w:rsidRPr="004D588E">
          <w:rPr>
            <w:rStyle w:val="Hyperlink"/>
            <w:noProof/>
          </w:rPr>
          <w:t>3.3</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How should an interest be disclosed?</w:t>
        </w:r>
        <w:r>
          <w:rPr>
            <w:noProof/>
            <w:webHidden/>
          </w:rPr>
          <w:tab/>
        </w:r>
        <w:r>
          <w:rPr>
            <w:noProof/>
            <w:webHidden/>
          </w:rPr>
          <w:fldChar w:fldCharType="begin"/>
        </w:r>
        <w:r>
          <w:rPr>
            <w:noProof/>
            <w:webHidden/>
          </w:rPr>
          <w:instrText xml:space="preserve"> PAGEREF _Toc150497277 \h </w:instrText>
        </w:r>
        <w:r>
          <w:rPr>
            <w:noProof/>
            <w:webHidden/>
          </w:rPr>
        </w:r>
        <w:r>
          <w:rPr>
            <w:noProof/>
            <w:webHidden/>
          </w:rPr>
          <w:fldChar w:fldCharType="separate"/>
        </w:r>
        <w:r>
          <w:rPr>
            <w:noProof/>
            <w:webHidden/>
          </w:rPr>
          <w:t>8</w:t>
        </w:r>
        <w:r>
          <w:rPr>
            <w:noProof/>
            <w:webHidden/>
          </w:rPr>
          <w:fldChar w:fldCharType="end"/>
        </w:r>
      </w:hyperlink>
    </w:p>
    <w:p w14:paraId="3E33D724" w14:textId="21698C7A"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78" w:history="1">
        <w:r w:rsidRPr="004D588E">
          <w:rPr>
            <w:rStyle w:val="Hyperlink"/>
            <w:noProof/>
          </w:rPr>
          <w:t>3.3.1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Declaring conflicts at a meeting</w:t>
        </w:r>
        <w:r>
          <w:rPr>
            <w:noProof/>
            <w:webHidden/>
          </w:rPr>
          <w:tab/>
        </w:r>
        <w:r>
          <w:rPr>
            <w:noProof/>
            <w:webHidden/>
          </w:rPr>
          <w:fldChar w:fldCharType="begin"/>
        </w:r>
        <w:r>
          <w:rPr>
            <w:noProof/>
            <w:webHidden/>
          </w:rPr>
          <w:instrText xml:space="preserve"> PAGEREF _Toc150497278 \h </w:instrText>
        </w:r>
        <w:r>
          <w:rPr>
            <w:noProof/>
            <w:webHidden/>
          </w:rPr>
        </w:r>
        <w:r>
          <w:rPr>
            <w:noProof/>
            <w:webHidden/>
          </w:rPr>
          <w:fldChar w:fldCharType="separate"/>
        </w:r>
        <w:r>
          <w:rPr>
            <w:noProof/>
            <w:webHidden/>
          </w:rPr>
          <w:t>8</w:t>
        </w:r>
        <w:r>
          <w:rPr>
            <w:noProof/>
            <w:webHidden/>
          </w:rPr>
          <w:fldChar w:fldCharType="end"/>
        </w:r>
      </w:hyperlink>
    </w:p>
    <w:p w14:paraId="65D16860" w14:textId="3ED9FC15"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79" w:history="1">
        <w:r w:rsidRPr="004D588E">
          <w:rPr>
            <w:rStyle w:val="Hyperlink"/>
            <w:noProof/>
          </w:rPr>
          <w:t>3.3.2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Chair</w:t>
        </w:r>
        <w:r>
          <w:rPr>
            <w:noProof/>
            <w:webHidden/>
          </w:rPr>
          <w:tab/>
        </w:r>
        <w:r>
          <w:rPr>
            <w:noProof/>
            <w:webHidden/>
          </w:rPr>
          <w:fldChar w:fldCharType="begin"/>
        </w:r>
        <w:r>
          <w:rPr>
            <w:noProof/>
            <w:webHidden/>
          </w:rPr>
          <w:instrText xml:space="preserve"> PAGEREF _Toc150497279 \h </w:instrText>
        </w:r>
        <w:r>
          <w:rPr>
            <w:noProof/>
            <w:webHidden/>
          </w:rPr>
        </w:r>
        <w:r>
          <w:rPr>
            <w:noProof/>
            <w:webHidden/>
          </w:rPr>
          <w:fldChar w:fldCharType="separate"/>
        </w:r>
        <w:r>
          <w:rPr>
            <w:noProof/>
            <w:webHidden/>
          </w:rPr>
          <w:t>8</w:t>
        </w:r>
        <w:r>
          <w:rPr>
            <w:noProof/>
            <w:webHidden/>
          </w:rPr>
          <w:fldChar w:fldCharType="end"/>
        </w:r>
      </w:hyperlink>
    </w:p>
    <w:p w14:paraId="2D9E2516" w14:textId="35FDB535"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80" w:history="1">
        <w:r w:rsidRPr="004D588E">
          <w:rPr>
            <w:rStyle w:val="Hyperlink"/>
            <w:noProof/>
          </w:rPr>
          <w:t>3.3.3</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Declaring conflicts of interests on an ongoing basis</w:t>
        </w:r>
        <w:r>
          <w:rPr>
            <w:noProof/>
            <w:webHidden/>
          </w:rPr>
          <w:tab/>
        </w:r>
        <w:r>
          <w:rPr>
            <w:noProof/>
            <w:webHidden/>
          </w:rPr>
          <w:fldChar w:fldCharType="begin"/>
        </w:r>
        <w:r>
          <w:rPr>
            <w:noProof/>
            <w:webHidden/>
          </w:rPr>
          <w:instrText xml:space="preserve"> PAGEREF _Toc150497280 \h </w:instrText>
        </w:r>
        <w:r>
          <w:rPr>
            <w:noProof/>
            <w:webHidden/>
          </w:rPr>
        </w:r>
        <w:r>
          <w:rPr>
            <w:noProof/>
            <w:webHidden/>
          </w:rPr>
          <w:fldChar w:fldCharType="separate"/>
        </w:r>
        <w:r>
          <w:rPr>
            <w:noProof/>
            <w:webHidden/>
          </w:rPr>
          <w:t>8</w:t>
        </w:r>
        <w:r>
          <w:rPr>
            <w:noProof/>
            <w:webHidden/>
          </w:rPr>
          <w:fldChar w:fldCharType="end"/>
        </w:r>
      </w:hyperlink>
    </w:p>
    <w:p w14:paraId="27017A49" w14:textId="438BAA34"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81" w:history="1">
        <w:r w:rsidRPr="004D588E">
          <w:rPr>
            <w:rStyle w:val="Hyperlink"/>
            <w:noProof/>
          </w:rPr>
          <w:t>3.3.4</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Checks prior to matter allocation</w:t>
        </w:r>
        <w:r>
          <w:rPr>
            <w:noProof/>
            <w:webHidden/>
          </w:rPr>
          <w:tab/>
        </w:r>
        <w:r>
          <w:rPr>
            <w:noProof/>
            <w:webHidden/>
          </w:rPr>
          <w:fldChar w:fldCharType="begin"/>
        </w:r>
        <w:r>
          <w:rPr>
            <w:noProof/>
            <w:webHidden/>
          </w:rPr>
          <w:instrText xml:space="preserve"> PAGEREF _Toc150497281 \h </w:instrText>
        </w:r>
        <w:r>
          <w:rPr>
            <w:noProof/>
            <w:webHidden/>
          </w:rPr>
        </w:r>
        <w:r>
          <w:rPr>
            <w:noProof/>
            <w:webHidden/>
          </w:rPr>
          <w:fldChar w:fldCharType="separate"/>
        </w:r>
        <w:r>
          <w:rPr>
            <w:noProof/>
            <w:webHidden/>
          </w:rPr>
          <w:t>8</w:t>
        </w:r>
        <w:r>
          <w:rPr>
            <w:noProof/>
            <w:webHidden/>
          </w:rPr>
          <w:fldChar w:fldCharType="end"/>
        </w:r>
      </w:hyperlink>
    </w:p>
    <w:p w14:paraId="7EBD0C52" w14:textId="3C4C4828"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82" w:history="1">
        <w:r w:rsidRPr="004D588E">
          <w:rPr>
            <w:rStyle w:val="Hyperlink"/>
            <w:noProof/>
          </w:rPr>
          <w:t>3.4</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Options for managing a conflict of interests</w:t>
        </w:r>
        <w:r>
          <w:rPr>
            <w:noProof/>
            <w:webHidden/>
          </w:rPr>
          <w:tab/>
        </w:r>
        <w:r>
          <w:rPr>
            <w:noProof/>
            <w:webHidden/>
          </w:rPr>
          <w:fldChar w:fldCharType="begin"/>
        </w:r>
        <w:r>
          <w:rPr>
            <w:noProof/>
            <w:webHidden/>
          </w:rPr>
          <w:instrText xml:space="preserve"> PAGEREF _Toc150497282 \h </w:instrText>
        </w:r>
        <w:r>
          <w:rPr>
            <w:noProof/>
            <w:webHidden/>
          </w:rPr>
        </w:r>
        <w:r>
          <w:rPr>
            <w:noProof/>
            <w:webHidden/>
          </w:rPr>
          <w:fldChar w:fldCharType="separate"/>
        </w:r>
        <w:r>
          <w:rPr>
            <w:noProof/>
            <w:webHidden/>
          </w:rPr>
          <w:t>8</w:t>
        </w:r>
        <w:r>
          <w:rPr>
            <w:noProof/>
            <w:webHidden/>
          </w:rPr>
          <w:fldChar w:fldCharType="end"/>
        </w:r>
      </w:hyperlink>
    </w:p>
    <w:p w14:paraId="358EA2C5" w14:textId="68FCFA76"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83" w:history="1">
        <w:r w:rsidRPr="004D588E">
          <w:rPr>
            <w:rStyle w:val="Hyperlink"/>
            <w:noProof/>
          </w:rPr>
          <w:t>3.5</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Determining whether a conflict is material</w:t>
        </w:r>
        <w:r>
          <w:rPr>
            <w:noProof/>
            <w:webHidden/>
          </w:rPr>
          <w:tab/>
        </w:r>
        <w:r>
          <w:rPr>
            <w:noProof/>
            <w:webHidden/>
          </w:rPr>
          <w:fldChar w:fldCharType="begin"/>
        </w:r>
        <w:r>
          <w:rPr>
            <w:noProof/>
            <w:webHidden/>
          </w:rPr>
          <w:instrText xml:space="preserve"> PAGEREF _Toc150497283 \h </w:instrText>
        </w:r>
        <w:r>
          <w:rPr>
            <w:noProof/>
            <w:webHidden/>
          </w:rPr>
        </w:r>
        <w:r>
          <w:rPr>
            <w:noProof/>
            <w:webHidden/>
          </w:rPr>
          <w:fldChar w:fldCharType="separate"/>
        </w:r>
        <w:r>
          <w:rPr>
            <w:noProof/>
            <w:webHidden/>
          </w:rPr>
          <w:t>9</w:t>
        </w:r>
        <w:r>
          <w:rPr>
            <w:noProof/>
            <w:webHidden/>
          </w:rPr>
          <w:fldChar w:fldCharType="end"/>
        </w:r>
      </w:hyperlink>
    </w:p>
    <w:p w14:paraId="3C073882" w14:textId="3A3910F4" w:rsidR="008C0AE8" w:rsidRDefault="008C0AE8">
      <w:pPr>
        <w:pStyle w:val="TOC1"/>
        <w:tabs>
          <w:tab w:val="left" w:pos="397"/>
          <w:tab w:val="right" w:leader="dot" w:pos="10188"/>
        </w:tabs>
        <w:rPr>
          <w:rFonts w:asciiTheme="minorHAnsi" w:eastAsiaTheme="minorEastAsia" w:hAnsiTheme="minorHAnsi"/>
          <w:noProof/>
          <w:kern w:val="2"/>
          <w:sz w:val="22"/>
          <w:szCs w:val="22"/>
          <w:lang w:val="en-AU" w:eastAsia="en-AU"/>
          <w14:ligatures w14:val="standardContextual"/>
        </w:rPr>
      </w:pPr>
      <w:hyperlink w:anchor="_Toc150497284" w:history="1">
        <w:r w:rsidRPr="004D588E">
          <w:rPr>
            <w:rStyle w:val="Hyperlink"/>
            <w:noProof/>
          </w:rPr>
          <w:t>4</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Disclosure of interests</w:t>
        </w:r>
        <w:r>
          <w:rPr>
            <w:noProof/>
            <w:webHidden/>
          </w:rPr>
          <w:tab/>
        </w:r>
        <w:r>
          <w:rPr>
            <w:noProof/>
            <w:webHidden/>
          </w:rPr>
          <w:fldChar w:fldCharType="begin"/>
        </w:r>
        <w:r>
          <w:rPr>
            <w:noProof/>
            <w:webHidden/>
          </w:rPr>
          <w:instrText xml:space="preserve"> PAGEREF _Toc150497284 \h </w:instrText>
        </w:r>
        <w:r>
          <w:rPr>
            <w:noProof/>
            <w:webHidden/>
          </w:rPr>
        </w:r>
        <w:r>
          <w:rPr>
            <w:noProof/>
            <w:webHidden/>
          </w:rPr>
          <w:fldChar w:fldCharType="separate"/>
        </w:r>
        <w:r>
          <w:rPr>
            <w:noProof/>
            <w:webHidden/>
          </w:rPr>
          <w:t>9</w:t>
        </w:r>
        <w:r>
          <w:rPr>
            <w:noProof/>
            <w:webHidden/>
          </w:rPr>
          <w:fldChar w:fldCharType="end"/>
        </w:r>
      </w:hyperlink>
    </w:p>
    <w:p w14:paraId="7C0F9E00" w14:textId="697B282B"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85" w:history="1">
        <w:r w:rsidRPr="004D588E">
          <w:rPr>
            <w:rStyle w:val="Hyperlink"/>
            <w:noProof/>
          </w:rPr>
          <w:t>4.1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Managing material conflicts of interest</w:t>
        </w:r>
        <w:r>
          <w:rPr>
            <w:noProof/>
            <w:webHidden/>
          </w:rPr>
          <w:tab/>
        </w:r>
        <w:r>
          <w:rPr>
            <w:noProof/>
            <w:webHidden/>
          </w:rPr>
          <w:fldChar w:fldCharType="begin"/>
        </w:r>
        <w:r>
          <w:rPr>
            <w:noProof/>
            <w:webHidden/>
          </w:rPr>
          <w:instrText xml:space="preserve"> PAGEREF _Toc150497285 \h </w:instrText>
        </w:r>
        <w:r>
          <w:rPr>
            <w:noProof/>
            <w:webHidden/>
          </w:rPr>
        </w:r>
        <w:r>
          <w:rPr>
            <w:noProof/>
            <w:webHidden/>
          </w:rPr>
          <w:fldChar w:fldCharType="separate"/>
        </w:r>
        <w:r>
          <w:rPr>
            <w:noProof/>
            <w:webHidden/>
          </w:rPr>
          <w:t>9</w:t>
        </w:r>
        <w:r>
          <w:rPr>
            <w:noProof/>
            <w:webHidden/>
          </w:rPr>
          <w:fldChar w:fldCharType="end"/>
        </w:r>
      </w:hyperlink>
    </w:p>
    <w:p w14:paraId="7E2D70D7" w14:textId="6106FE14"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86" w:history="1">
        <w:r w:rsidRPr="004D588E">
          <w:rPr>
            <w:rStyle w:val="Hyperlink"/>
            <w:noProof/>
          </w:rPr>
          <w:t>4.1.1</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More stringent options for managing a material conflict</w:t>
        </w:r>
        <w:r>
          <w:rPr>
            <w:noProof/>
            <w:webHidden/>
          </w:rPr>
          <w:tab/>
        </w:r>
        <w:r>
          <w:rPr>
            <w:noProof/>
            <w:webHidden/>
          </w:rPr>
          <w:fldChar w:fldCharType="begin"/>
        </w:r>
        <w:r>
          <w:rPr>
            <w:noProof/>
            <w:webHidden/>
          </w:rPr>
          <w:instrText xml:space="preserve"> PAGEREF _Toc150497286 \h </w:instrText>
        </w:r>
        <w:r>
          <w:rPr>
            <w:noProof/>
            <w:webHidden/>
          </w:rPr>
        </w:r>
        <w:r>
          <w:rPr>
            <w:noProof/>
            <w:webHidden/>
          </w:rPr>
          <w:fldChar w:fldCharType="separate"/>
        </w:r>
        <w:r>
          <w:rPr>
            <w:noProof/>
            <w:webHidden/>
          </w:rPr>
          <w:t>10</w:t>
        </w:r>
        <w:r>
          <w:rPr>
            <w:noProof/>
            <w:webHidden/>
          </w:rPr>
          <w:fldChar w:fldCharType="end"/>
        </w:r>
      </w:hyperlink>
    </w:p>
    <w:p w14:paraId="304ED846" w14:textId="1532B4C7" w:rsidR="008C0AE8" w:rsidRDefault="008C0AE8">
      <w:pPr>
        <w:pStyle w:val="TOC3"/>
        <w:rPr>
          <w:rFonts w:asciiTheme="minorHAnsi" w:eastAsiaTheme="minorEastAsia" w:hAnsiTheme="minorHAnsi"/>
          <w:noProof/>
          <w:kern w:val="2"/>
          <w:sz w:val="22"/>
          <w:szCs w:val="22"/>
          <w:lang w:val="en-AU" w:eastAsia="en-AU"/>
          <w14:ligatures w14:val="standardContextual"/>
        </w:rPr>
      </w:pPr>
      <w:hyperlink w:anchor="_Toc150497287" w:history="1">
        <w:r w:rsidRPr="004D588E">
          <w:rPr>
            <w:rStyle w:val="Hyperlink"/>
            <w:noProof/>
          </w:rPr>
          <w:t>4.1.2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Less stringent options for managing a material conflict</w:t>
        </w:r>
        <w:r>
          <w:rPr>
            <w:noProof/>
            <w:webHidden/>
          </w:rPr>
          <w:tab/>
        </w:r>
        <w:r>
          <w:rPr>
            <w:noProof/>
            <w:webHidden/>
          </w:rPr>
          <w:fldChar w:fldCharType="begin"/>
        </w:r>
        <w:r>
          <w:rPr>
            <w:noProof/>
            <w:webHidden/>
          </w:rPr>
          <w:instrText xml:space="preserve"> PAGEREF _Toc150497287 \h </w:instrText>
        </w:r>
        <w:r>
          <w:rPr>
            <w:noProof/>
            <w:webHidden/>
          </w:rPr>
        </w:r>
        <w:r>
          <w:rPr>
            <w:noProof/>
            <w:webHidden/>
          </w:rPr>
          <w:fldChar w:fldCharType="separate"/>
        </w:r>
        <w:r>
          <w:rPr>
            <w:noProof/>
            <w:webHidden/>
          </w:rPr>
          <w:t>10</w:t>
        </w:r>
        <w:r>
          <w:rPr>
            <w:noProof/>
            <w:webHidden/>
          </w:rPr>
          <w:fldChar w:fldCharType="end"/>
        </w:r>
      </w:hyperlink>
    </w:p>
    <w:p w14:paraId="5BCBCC1F" w14:textId="161013F4"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88" w:history="1">
        <w:r w:rsidRPr="004D588E">
          <w:rPr>
            <w:rStyle w:val="Hyperlink"/>
            <w:noProof/>
          </w:rPr>
          <w:t>4.2</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Managing non-material conflicts of interest</w:t>
        </w:r>
        <w:r>
          <w:rPr>
            <w:noProof/>
            <w:webHidden/>
          </w:rPr>
          <w:tab/>
        </w:r>
        <w:r>
          <w:rPr>
            <w:noProof/>
            <w:webHidden/>
          </w:rPr>
          <w:fldChar w:fldCharType="begin"/>
        </w:r>
        <w:r>
          <w:rPr>
            <w:noProof/>
            <w:webHidden/>
          </w:rPr>
          <w:instrText xml:space="preserve"> PAGEREF _Toc150497288 \h </w:instrText>
        </w:r>
        <w:r>
          <w:rPr>
            <w:noProof/>
            <w:webHidden/>
          </w:rPr>
        </w:r>
        <w:r>
          <w:rPr>
            <w:noProof/>
            <w:webHidden/>
          </w:rPr>
          <w:fldChar w:fldCharType="separate"/>
        </w:r>
        <w:r>
          <w:rPr>
            <w:noProof/>
            <w:webHidden/>
          </w:rPr>
          <w:t>10</w:t>
        </w:r>
        <w:r>
          <w:rPr>
            <w:noProof/>
            <w:webHidden/>
          </w:rPr>
          <w:fldChar w:fldCharType="end"/>
        </w:r>
      </w:hyperlink>
    </w:p>
    <w:p w14:paraId="3462A12C" w14:textId="32819459"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89" w:history="1">
        <w:r w:rsidRPr="004D588E">
          <w:rPr>
            <w:rStyle w:val="Hyperlink"/>
            <w:noProof/>
          </w:rPr>
          <w:t>4.3</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If a Commissioner discloses an interest, will the relevant parties be advised?</w:t>
        </w:r>
        <w:r>
          <w:rPr>
            <w:noProof/>
            <w:webHidden/>
          </w:rPr>
          <w:tab/>
        </w:r>
        <w:r>
          <w:rPr>
            <w:noProof/>
            <w:webHidden/>
          </w:rPr>
          <w:fldChar w:fldCharType="begin"/>
        </w:r>
        <w:r>
          <w:rPr>
            <w:noProof/>
            <w:webHidden/>
          </w:rPr>
          <w:instrText xml:space="preserve"> PAGEREF _Toc150497289 \h </w:instrText>
        </w:r>
        <w:r>
          <w:rPr>
            <w:noProof/>
            <w:webHidden/>
          </w:rPr>
        </w:r>
        <w:r>
          <w:rPr>
            <w:noProof/>
            <w:webHidden/>
          </w:rPr>
          <w:fldChar w:fldCharType="separate"/>
        </w:r>
        <w:r>
          <w:rPr>
            <w:noProof/>
            <w:webHidden/>
          </w:rPr>
          <w:t>10</w:t>
        </w:r>
        <w:r>
          <w:rPr>
            <w:noProof/>
            <w:webHidden/>
          </w:rPr>
          <w:fldChar w:fldCharType="end"/>
        </w:r>
      </w:hyperlink>
    </w:p>
    <w:p w14:paraId="46CDDBA4" w14:textId="31166953"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90" w:history="1">
        <w:r w:rsidRPr="004D588E">
          <w:rPr>
            <w:rStyle w:val="Hyperlink"/>
            <w:noProof/>
          </w:rPr>
          <w:t>4.4</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What if a party to a matter being considered is dissatisfied that a Commissioner is continuing to participate in the matter?</w:t>
        </w:r>
        <w:r>
          <w:rPr>
            <w:noProof/>
            <w:webHidden/>
          </w:rPr>
          <w:tab/>
        </w:r>
        <w:r>
          <w:rPr>
            <w:noProof/>
            <w:webHidden/>
          </w:rPr>
          <w:fldChar w:fldCharType="begin"/>
        </w:r>
        <w:r>
          <w:rPr>
            <w:noProof/>
            <w:webHidden/>
          </w:rPr>
          <w:instrText xml:space="preserve"> PAGEREF _Toc150497290 \h </w:instrText>
        </w:r>
        <w:r>
          <w:rPr>
            <w:noProof/>
            <w:webHidden/>
          </w:rPr>
        </w:r>
        <w:r>
          <w:rPr>
            <w:noProof/>
            <w:webHidden/>
          </w:rPr>
          <w:fldChar w:fldCharType="separate"/>
        </w:r>
        <w:r>
          <w:rPr>
            <w:noProof/>
            <w:webHidden/>
          </w:rPr>
          <w:t>11</w:t>
        </w:r>
        <w:r>
          <w:rPr>
            <w:noProof/>
            <w:webHidden/>
          </w:rPr>
          <w:fldChar w:fldCharType="end"/>
        </w:r>
      </w:hyperlink>
    </w:p>
    <w:p w14:paraId="6270076E" w14:textId="6F3834CA" w:rsidR="008C0AE8" w:rsidRDefault="008C0AE8">
      <w:pPr>
        <w:pStyle w:val="TOC2"/>
        <w:rPr>
          <w:rFonts w:asciiTheme="minorHAnsi" w:eastAsiaTheme="minorEastAsia" w:hAnsiTheme="minorHAnsi"/>
          <w:noProof/>
          <w:kern w:val="2"/>
          <w:sz w:val="22"/>
          <w:szCs w:val="22"/>
          <w:lang w:val="en-AU" w:eastAsia="en-AU"/>
          <w14:ligatures w14:val="standardContextual"/>
        </w:rPr>
      </w:pPr>
      <w:hyperlink w:anchor="_Toc150497291" w:history="1">
        <w:r w:rsidRPr="004D588E">
          <w:rPr>
            <w:rStyle w:val="Hyperlink"/>
            <w:noProof/>
          </w:rPr>
          <w:t>4.5</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Decisions taken where a Commissioner has an interest</w:t>
        </w:r>
        <w:r>
          <w:rPr>
            <w:noProof/>
            <w:webHidden/>
          </w:rPr>
          <w:tab/>
        </w:r>
        <w:r>
          <w:rPr>
            <w:noProof/>
            <w:webHidden/>
          </w:rPr>
          <w:fldChar w:fldCharType="begin"/>
        </w:r>
        <w:r>
          <w:rPr>
            <w:noProof/>
            <w:webHidden/>
          </w:rPr>
          <w:instrText xml:space="preserve"> PAGEREF _Toc150497291 \h </w:instrText>
        </w:r>
        <w:r>
          <w:rPr>
            <w:noProof/>
            <w:webHidden/>
          </w:rPr>
        </w:r>
        <w:r>
          <w:rPr>
            <w:noProof/>
            <w:webHidden/>
          </w:rPr>
          <w:fldChar w:fldCharType="separate"/>
        </w:r>
        <w:r>
          <w:rPr>
            <w:noProof/>
            <w:webHidden/>
          </w:rPr>
          <w:t>11</w:t>
        </w:r>
        <w:r>
          <w:rPr>
            <w:noProof/>
            <w:webHidden/>
          </w:rPr>
          <w:fldChar w:fldCharType="end"/>
        </w:r>
      </w:hyperlink>
    </w:p>
    <w:p w14:paraId="7ED9F387" w14:textId="7703DAE2" w:rsidR="008C0AE8" w:rsidRDefault="008C0AE8">
      <w:pPr>
        <w:pStyle w:val="TOC1"/>
        <w:tabs>
          <w:tab w:val="left" w:pos="397"/>
          <w:tab w:val="right" w:leader="dot" w:pos="10188"/>
        </w:tabs>
        <w:rPr>
          <w:rFonts w:asciiTheme="minorHAnsi" w:eastAsiaTheme="minorEastAsia" w:hAnsiTheme="minorHAnsi"/>
          <w:noProof/>
          <w:kern w:val="2"/>
          <w:sz w:val="22"/>
          <w:szCs w:val="22"/>
          <w:lang w:val="en-AU" w:eastAsia="en-AU"/>
          <w14:ligatures w14:val="standardContextual"/>
        </w:rPr>
      </w:pPr>
      <w:hyperlink w:anchor="_Toc150497292" w:history="1">
        <w:r w:rsidRPr="004D588E">
          <w:rPr>
            <w:rStyle w:val="Hyperlink"/>
            <w:noProof/>
          </w:rPr>
          <w:t>5</w:t>
        </w:r>
        <w:r>
          <w:rPr>
            <w:rFonts w:asciiTheme="minorHAnsi" w:eastAsiaTheme="minorEastAsia" w:hAnsiTheme="minorHAnsi"/>
            <w:noProof/>
            <w:kern w:val="2"/>
            <w:sz w:val="22"/>
            <w:szCs w:val="22"/>
            <w:lang w:val="en-AU" w:eastAsia="en-AU"/>
            <w14:ligatures w14:val="standardContextual"/>
          </w:rPr>
          <w:tab/>
        </w:r>
        <w:r w:rsidRPr="004D588E">
          <w:rPr>
            <w:rStyle w:val="Hyperlink"/>
            <w:noProof/>
          </w:rPr>
          <w:t>Breaches of this policy</w:t>
        </w:r>
        <w:r>
          <w:rPr>
            <w:noProof/>
            <w:webHidden/>
          </w:rPr>
          <w:tab/>
        </w:r>
        <w:r>
          <w:rPr>
            <w:noProof/>
            <w:webHidden/>
          </w:rPr>
          <w:fldChar w:fldCharType="begin"/>
        </w:r>
        <w:r>
          <w:rPr>
            <w:noProof/>
            <w:webHidden/>
          </w:rPr>
          <w:instrText xml:space="preserve"> PAGEREF _Toc150497292 \h </w:instrText>
        </w:r>
        <w:r>
          <w:rPr>
            <w:noProof/>
            <w:webHidden/>
          </w:rPr>
        </w:r>
        <w:r>
          <w:rPr>
            <w:noProof/>
            <w:webHidden/>
          </w:rPr>
          <w:fldChar w:fldCharType="separate"/>
        </w:r>
        <w:r>
          <w:rPr>
            <w:noProof/>
            <w:webHidden/>
          </w:rPr>
          <w:t>12</w:t>
        </w:r>
        <w:r>
          <w:rPr>
            <w:noProof/>
            <w:webHidden/>
          </w:rPr>
          <w:fldChar w:fldCharType="end"/>
        </w:r>
      </w:hyperlink>
    </w:p>
    <w:p w14:paraId="4B2547A1" w14:textId="0A6089D1" w:rsidR="009F7DD6" w:rsidRDefault="00D41FDD" w:rsidP="009469EE">
      <w:pPr>
        <w:rPr>
          <w:lang w:val="en-AU"/>
        </w:rPr>
      </w:pPr>
      <w:r>
        <w:rPr>
          <w:lang w:val="en-AU"/>
        </w:rPr>
        <w:fldChar w:fldCharType="end"/>
      </w:r>
    </w:p>
    <w:p w14:paraId="7039D117" w14:textId="77777777" w:rsidR="009F7DD6" w:rsidRDefault="009F7DD6">
      <w:pPr>
        <w:spacing w:after="0"/>
        <w:rPr>
          <w:lang w:val="en-AU"/>
        </w:rPr>
      </w:pPr>
      <w:r>
        <w:rPr>
          <w:lang w:val="en-AU"/>
        </w:rPr>
        <w:br w:type="page"/>
      </w:r>
    </w:p>
    <w:p w14:paraId="3F7BDD93" w14:textId="1C676968" w:rsidR="00191570" w:rsidRDefault="00191570" w:rsidP="00191570">
      <w:pPr>
        <w:pStyle w:val="Heading1"/>
      </w:pPr>
      <w:bookmarkStart w:id="0" w:name="_Toc150497258"/>
      <w:r>
        <w:lastRenderedPageBreak/>
        <w:t>I</w:t>
      </w:r>
      <w:r w:rsidRPr="001C7C19">
        <w:t>ntroduction</w:t>
      </w:r>
      <w:bookmarkEnd w:id="0"/>
    </w:p>
    <w:p w14:paraId="0DF016C3" w14:textId="77777777" w:rsidR="00191570" w:rsidRDefault="00191570" w:rsidP="00191570">
      <w:pPr>
        <w:pStyle w:val="Heading2"/>
      </w:pPr>
      <w:bookmarkStart w:id="1" w:name="_Toc71899067"/>
      <w:bookmarkStart w:id="2" w:name="_Toc150497259"/>
      <w:r>
        <w:t>Context of these guidelines</w:t>
      </w:r>
      <w:bookmarkEnd w:id="1"/>
      <w:bookmarkEnd w:id="2"/>
    </w:p>
    <w:p w14:paraId="4EA5FFD2" w14:textId="13FFADE9" w:rsidR="00191570" w:rsidRPr="00F40A66" w:rsidRDefault="00191570" w:rsidP="00191570">
      <w:pPr>
        <w:ind w:left="794"/>
      </w:pPr>
      <w:r>
        <w:t xml:space="preserve">These guidelines are designed to ensure that they meet the requirements of section 21 of the </w:t>
      </w:r>
      <w:r w:rsidRPr="003F3DD0">
        <w:rPr>
          <w:i/>
        </w:rPr>
        <w:t xml:space="preserve">Victorian </w:t>
      </w:r>
      <w:r w:rsidR="00484988">
        <w:rPr>
          <w:i/>
        </w:rPr>
        <w:t xml:space="preserve">Gambling and Casino Control </w:t>
      </w:r>
      <w:r w:rsidRPr="003F3DD0">
        <w:rPr>
          <w:i/>
        </w:rPr>
        <w:t>Commission Act 2011</w:t>
      </w:r>
      <w:r>
        <w:rPr>
          <w:i/>
        </w:rPr>
        <w:t xml:space="preserve"> </w:t>
      </w:r>
      <w:r w:rsidRPr="00CE68FB">
        <w:t>(</w:t>
      </w:r>
      <w:r>
        <w:t>VGCCC</w:t>
      </w:r>
      <w:r w:rsidRPr="004A2D74">
        <w:t xml:space="preserve"> Act</w:t>
      </w:r>
      <w:r w:rsidRPr="00CE68FB">
        <w:t>)</w:t>
      </w:r>
      <w:r>
        <w:rPr>
          <w:i/>
        </w:rPr>
        <w:t xml:space="preserve"> </w:t>
      </w:r>
      <w:r w:rsidRPr="000960BF">
        <w:t xml:space="preserve">and </w:t>
      </w:r>
      <w:r>
        <w:t xml:space="preserve">section 81 of the </w:t>
      </w:r>
      <w:r w:rsidRPr="000960BF">
        <w:rPr>
          <w:i/>
        </w:rPr>
        <w:t>Public Administration Act 2004</w:t>
      </w:r>
      <w:r>
        <w:rPr>
          <w:i/>
        </w:rPr>
        <w:t xml:space="preserve"> </w:t>
      </w:r>
      <w:r w:rsidRPr="00CE68FB">
        <w:t>(</w:t>
      </w:r>
      <w:r w:rsidRPr="004A2D74">
        <w:t>PA Act</w:t>
      </w:r>
      <w:r w:rsidRPr="00CE68FB">
        <w:t>)</w:t>
      </w:r>
      <w:r w:rsidRPr="000960BF">
        <w:rPr>
          <w:i/>
        </w:rPr>
        <w:t>.</w:t>
      </w:r>
      <w:r>
        <w:t xml:space="preserve"> </w:t>
      </w:r>
      <w:r w:rsidRPr="00F82FAB">
        <w:t xml:space="preserve">These guidelines </w:t>
      </w:r>
      <w:r>
        <w:t>form</w:t>
      </w:r>
      <w:r w:rsidRPr="00F82FAB">
        <w:t xml:space="preserve"> a subset of the broader</w:t>
      </w:r>
      <w:r>
        <w:t xml:space="preserve"> legislative requirements and</w:t>
      </w:r>
      <w:r w:rsidRPr="00F82FAB">
        <w:t xml:space="preserve"> policy statements about</w:t>
      </w:r>
      <w:r>
        <w:t xml:space="preserve"> how</w:t>
      </w:r>
      <w:r w:rsidRPr="00F82FAB">
        <w:t xml:space="preserve"> Commissioners, managers and staff</w:t>
      </w:r>
      <w:r>
        <w:t xml:space="preserve"> are to perform their roles in the Victorian Gambling and </w:t>
      </w:r>
      <w:r w:rsidR="00484988">
        <w:t>Casino Control Commission</w:t>
      </w:r>
      <w:r>
        <w:t xml:space="preserve"> (VGCCC).</w:t>
      </w:r>
    </w:p>
    <w:p w14:paraId="5153F1FB" w14:textId="77777777" w:rsidR="00191570" w:rsidRDefault="00191570" w:rsidP="00191570">
      <w:pPr>
        <w:pStyle w:val="Heading2"/>
      </w:pPr>
      <w:bookmarkStart w:id="3" w:name="_Toc71899068"/>
      <w:bookmarkStart w:id="4" w:name="_Toc150497260"/>
      <w:r>
        <w:t>Document purpose</w:t>
      </w:r>
      <w:bookmarkEnd w:id="3"/>
      <w:bookmarkEnd w:id="4"/>
    </w:p>
    <w:p w14:paraId="1C770A18" w14:textId="2A10F516" w:rsidR="00191570" w:rsidRDefault="00191570" w:rsidP="00191570">
      <w:pPr>
        <w:pStyle w:val="BODYYY"/>
        <w:tabs>
          <w:tab w:val="num" w:pos="993"/>
        </w:tabs>
        <w:spacing w:before="0"/>
        <w:ind w:left="794"/>
      </w:pPr>
      <w:r>
        <w:t xml:space="preserve">The purpose of these guidelines is to maintain the highest levels of integrity in the VGCCC and to protect the VGCCC and all Commissioners from any appearance of impropriety. Conflicts of interest can arise without anyone being at fault and must be properly managed by working to avoid actual, potential and perceived conflicts of interest. </w:t>
      </w:r>
    </w:p>
    <w:p w14:paraId="1DCB0161" w14:textId="2B523B38" w:rsidR="00191570" w:rsidRPr="00F82FAB" w:rsidRDefault="00191570" w:rsidP="00191570">
      <w:pPr>
        <w:pStyle w:val="BODYYY"/>
        <w:tabs>
          <w:tab w:val="num" w:pos="993"/>
        </w:tabs>
        <w:spacing w:before="0"/>
        <w:ind w:left="1674" w:hanging="880"/>
      </w:pPr>
      <w:r w:rsidRPr="00F82FAB">
        <w:t xml:space="preserve">When performing the regulatory functions of the </w:t>
      </w:r>
      <w:r>
        <w:t>VGCCC</w:t>
      </w:r>
      <w:r w:rsidRPr="00F82FAB">
        <w:t xml:space="preserve">, Commissioners must: </w:t>
      </w:r>
    </w:p>
    <w:p w14:paraId="1000A4BB" w14:textId="160F1DEB" w:rsidR="00191570" w:rsidRPr="00F82FAB" w:rsidRDefault="00191570" w:rsidP="00191570">
      <w:pPr>
        <w:pStyle w:val="BODYYY"/>
        <w:numPr>
          <w:ilvl w:val="0"/>
          <w:numId w:val="43"/>
        </w:numPr>
        <w:spacing w:before="0"/>
      </w:pPr>
      <w:r>
        <w:t>T</w:t>
      </w:r>
      <w:r w:rsidRPr="00F82FAB">
        <w:t>ake reasonable steps to restrict the extent to which a private interest could compromise, or be seen to compromise, their impartiality when carrying out their official duties</w:t>
      </w:r>
      <w:r w:rsidR="00A62297">
        <w:t>.</w:t>
      </w:r>
    </w:p>
    <w:p w14:paraId="03BC6025" w14:textId="77777777" w:rsidR="00191570" w:rsidRDefault="00191570" w:rsidP="00191570">
      <w:pPr>
        <w:pStyle w:val="BODYYY"/>
        <w:numPr>
          <w:ilvl w:val="0"/>
          <w:numId w:val="43"/>
        </w:numPr>
        <w:spacing w:before="0"/>
      </w:pPr>
      <w:r>
        <w:t>A</w:t>
      </w:r>
      <w:r w:rsidRPr="00F82FAB">
        <w:t>bstain from involvement in official decisions and actions that could reasonably be seen to be compromised by their private interests and affiliations.</w:t>
      </w:r>
    </w:p>
    <w:p w14:paraId="6CC1267C" w14:textId="53C33C6A" w:rsidR="00191570" w:rsidRDefault="00191570" w:rsidP="00191570">
      <w:pPr>
        <w:pStyle w:val="BODYYY"/>
        <w:tabs>
          <w:tab w:val="num" w:pos="993"/>
        </w:tabs>
        <w:spacing w:before="0"/>
        <w:ind w:left="720"/>
      </w:pPr>
      <w:r>
        <w:t>Conflicts of interest may arise where a Commissioner’s personal, family, or private interests, loyalties, or commitments conflict with those of the VGCCC. Such conflicts are problematic as they may:</w:t>
      </w:r>
    </w:p>
    <w:p w14:paraId="48EE41FB" w14:textId="2B020AF4" w:rsidR="00191570" w:rsidRDefault="00191570" w:rsidP="00191570">
      <w:pPr>
        <w:pStyle w:val="BODYYY"/>
        <w:numPr>
          <w:ilvl w:val="0"/>
          <w:numId w:val="42"/>
        </w:numPr>
        <w:spacing w:before="0"/>
        <w:ind w:left="1134"/>
      </w:pPr>
      <w:r>
        <w:t>Inhibit free discussion in Commission meetings</w:t>
      </w:r>
      <w:r w:rsidR="00A62297">
        <w:t>.</w:t>
      </w:r>
    </w:p>
    <w:p w14:paraId="7766196A" w14:textId="086B0A29" w:rsidR="00191570" w:rsidRDefault="00191570" w:rsidP="00191570">
      <w:pPr>
        <w:pStyle w:val="BODYYY"/>
        <w:numPr>
          <w:ilvl w:val="0"/>
          <w:numId w:val="42"/>
        </w:numPr>
        <w:spacing w:before="0"/>
        <w:ind w:left="1134"/>
      </w:pPr>
      <w:r>
        <w:t>Lead to bias or a lack of impartiality in decision-making</w:t>
      </w:r>
      <w:r w:rsidR="00A62297">
        <w:t>.</w:t>
      </w:r>
    </w:p>
    <w:p w14:paraId="22E9F28B" w14:textId="64A6A8E4" w:rsidR="00191570" w:rsidRDefault="00191570" w:rsidP="00191570">
      <w:pPr>
        <w:pStyle w:val="BODYYY"/>
        <w:numPr>
          <w:ilvl w:val="0"/>
          <w:numId w:val="42"/>
        </w:numPr>
        <w:spacing w:before="0"/>
        <w:ind w:left="1134"/>
      </w:pPr>
      <w:r>
        <w:t>Result in decisions or actions that are not in the interests of the VGCCC, or</w:t>
      </w:r>
    </w:p>
    <w:p w14:paraId="040A7BDE" w14:textId="378EEB41" w:rsidR="00191570" w:rsidRDefault="00191570" w:rsidP="00191570">
      <w:pPr>
        <w:pStyle w:val="BODYYY"/>
        <w:numPr>
          <w:ilvl w:val="0"/>
          <w:numId w:val="42"/>
        </w:numPr>
        <w:spacing w:before="0"/>
        <w:ind w:left="1134"/>
      </w:pPr>
      <w:r>
        <w:t>Harm public perception of the VGCCC and the broader public sector by giving the impression that the VGCCC has or may have acted improperly.</w:t>
      </w:r>
    </w:p>
    <w:p w14:paraId="213E9E0F" w14:textId="77777777" w:rsidR="00191570" w:rsidRDefault="00191570" w:rsidP="00191570">
      <w:pPr>
        <w:pStyle w:val="Heading2"/>
      </w:pPr>
      <w:bookmarkStart w:id="5" w:name="_Toc71899069"/>
      <w:bookmarkStart w:id="6" w:name="_Toc150497261"/>
      <w:r>
        <w:t>Legislative context</w:t>
      </w:r>
      <w:bookmarkEnd w:id="5"/>
      <w:bookmarkEnd w:id="6"/>
    </w:p>
    <w:p w14:paraId="7A4277F1" w14:textId="43B2117B" w:rsidR="00191570" w:rsidRDefault="00191570" w:rsidP="00191570">
      <w:pPr>
        <w:pStyle w:val="Heading3"/>
      </w:pPr>
      <w:bookmarkStart w:id="7" w:name="_Toc71899070"/>
      <w:bookmarkStart w:id="8" w:name="_Toc150497262"/>
      <w:r>
        <w:t>Section 21 VGCCC Act</w:t>
      </w:r>
      <w:bookmarkEnd w:id="7"/>
      <w:bookmarkEnd w:id="8"/>
    </w:p>
    <w:p w14:paraId="6300583A" w14:textId="7E9A1618" w:rsidR="00191570" w:rsidRPr="00F82FAB" w:rsidRDefault="00191570" w:rsidP="00191570">
      <w:pPr>
        <w:pStyle w:val="BODYYY"/>
        <w:spacing w:before="0"/>
        <w:ind w:left="794" w:firstLine="86"/>
      </w:pPr>
      <w:r w:rsidRPr="00F82FAB">
        <w:t xml:space="preserve">Section 21 of the </w:t>
      </w:r>
      <w:r>
        <w:t xml:space="preserve">VGCCC </w:t>
      </w:r>
      <w:r w:rsidRPr="00141CD6">
        <w:t>Act</w:t>
      </w:r>
      <w:r w:rsidRPr="00F82FAB">
        <w:t xml:space="preserve"> provides for the disclosure of interests by Commissioners:</w:t>
      </w:r>
    </w:p>
    <w:p w14:paraId="1F4596B1" w14:textId="2B15B9AC" w:rsidR="00191570" w:rsidRPr="00F82FAB" w:rsidRDefault="00191570" w:rsidP="00191570">
      <w:pPr>
        <w:pStyle w:val="BODYYY"/>
        <w:numPr>
          <w:ilvl w:val="0"/>
          <w:numId w:val="41"/>
        </w:numPr>
        <w:spacing w:before="0"/>
        <w:ind w:left="1276"/>
      </w:pPr>
      <w:r>
        <w:t>I</w:t>
      </w:r>
      <w:r w:rsidRPr="00F82FAB">
        <w:t xml:space="preserve">f a </w:t>
      </w:r>
      <w:r>
        <w:t>C</w:t>
      </w:r>
      <w:r w:rsidRPr="00F82FAB">
        <w:t xml:space="preserve">ommissioner has an interest in a matter being considered, or about to be considered, by the Commission, </w:t>
      </w:r>
      <w:r w:rsidR="00DC3E71">
        <w:t xml:space="preserve">they </w:t>
      </w:r>
      <w:r w:rsidRPr="00F82FAB">
        <w:t>must, as soon as practicable after the relevant facts come to</w:t>
      </w:r>
      <w:r w:rsidR="00DC3E71">
        <w:t xml:space="preserve"> their</w:t>
      </w:r>
      <w:r w:rsidRPr="00F82FAB">
        <w:t xml:space="preserve"> knowledge, disclose the nature of </w:t>
      </w:r>
      <w:r>
        <w:t>the interest to the Chair</w:t>
      </w:r>
      <w:r>
        <w:rPr>
          <w:rStyle w:val="FootnoteReference"/>
        </w:rPr>
        <w:footnoteReference w:id="1"/>
      </w:r>
      <w:r w:rsidR="00A62297">
        <w:t>.</w:t>
      </w:r>
    </w:p>
    <w:p w14:paraId="4BB2D42D" w14:textId="2B73593F" w:rsidR="00191570" w:rsidRPr="00F82FAB" w:rsidRDefault="00191570" w:rsidP="00191570">
      <w:pPr>
        <w:pStyle w:val="BODYYY"/>
        <w:numPr>
          <w:ilvl w:val="0"/>
          <w:numId w:val="41"/>
        </w:numPr>
        <w:spacing w:before="0"/>
        <w:ind w:left="1276"/>
      </w:pPr>
      <w:r>
        <w:t>I</w:t>
      </w:r>
      <w:r w:rsidRPr="00F82FAB">
        <w:t xml:space="preserve">f the Chair has an interest in a matter being considered, or about to be considered, by the Commission, </w:t>
      </w:r>
      <w:r w:rsidR="00DC3E71">
        <w:t xml:space="preserve">they </w:t>
      </w:r>
      <w:r w:rsidRPr="00F82FAB">
        <w:t xml:space="preserve">must, as soon as practicable after the relevant facts come to </w:t>
      </w:r>
      <w:r w:rsidR="00DC3E71">
        <w:t>their</w:t>
      </w:r>
      <w:r w:rsidRPr="00F82FAB">
        <w:t xml:space="preserve"> knowledge, disclose the nature </w:t>
      </w:r>
      <w:r>
        <w:t xml:space="preserve">of the interest to the </w:t>
      </w:r>
      <w:r w:rsidR="004B0B1E">
        <w:t xml:space="preserve">responsible </w:t>
      </w:r>
      <w:r>
        <w:t>Minister</w:t>
      </w:r>
      <w:r w:rsidR="00A62297">
        <w:t>.</w:t>
      </w:r>
    </w:p>
    <w:p w14:paraId="26828DF4" w14:textId="4927DBB7" w:rsidR="00191570" w:rsidRPr="00F82FAB" w:rsidRDefault="00191570" w:rsidP="00191570">
      <w:pPr>
        <w:pStyle w:val="BODYYY"/>
        <w:numPr>
          <w:ilvl w:val="0"/>
          <w:numId w:val="41"/>
        </w:numPr>
        <w:spacing w:before="0"/>
        <w:ind w:left="1276"/>
      </w:pPr>
      <w:r>
        <w:t>T</w:t>
      </w:r>
      <w:r w:rsidRPr="00F82FAB">
        <w:t xml:space="preserve">he Commission must make guidelines specifying the types of interests that a </w:t>
      </w:r>
      <w:r>
        <w:t>C</w:t>
      </w:r>
      <w:r w:rsidRPr="00F82FAB">
        <w:t>ommissioner must disclose f</w:t>
      </w:r>
      <w:r>
        <w:t>or the purposes of this section</w:t>
      </w:r>
      <w:r w:rsidR="00A62297">
        <w:t>.</w:t>
      </w:r>
    </w:p>
    <w:p w14:paraId="798C87AE" w14:textId="1AC186C1" w:rsidR="00191570" w:rsidRPr="00F82FAB" w:rsidRDefault="00191570" w:rsidP="00191570">
      <w:pPr>
        <w:pStyle w:val="BODYYY"/>
        <w:numPr>
          <w:ilvl w:val="0"/>
          <w:numId w:val="41"/>
        </w:numPr>
        <w:spacing w:before="0"/>
        <w:ind w:left="1276"/>
      </w:pPr>
      <w:r>
        <w:t>T</w:t>
      </w:r>
      <w:r w:rsidRPr="00F82FAB">
        <w:t xml:space="preserve">he Commission must </w:t>
      </w:r>
      <w:r>
        <w:t xml:space="preserve">cause </w:t>
      </w:r>
      <w:r w:rsidRPr="00F82FAB">
        <w:t>guidelines made under this section</w:t>
      </w:r>
      <w:r>
        <w:t xml:space="preserve"> </w:t>
      </w:r>
      <w:r w:rsidRPr="00F82FAB">
        <w:t xml:space="preserve">to be published on the </w:t>
      </w:r>
      <w:r>
        <w:t xml:space="preserve">Internet site of the </w:t>
      </w:r>
      <w:r w:rsidR="004B0B1E">
        <w:t>VGCCC</w:t>
      </w:r>
      <w:r>
        <w:t xml:space="preserve">. </w:t>
      </w:r>
    </w:p>
    <w:p w14:paraId="1F3E0756" w14:textId="77777777" w:rsidR="00191570" w:rsidRDefault="00191570" w:rsidP="00191570">
      <w:pPr>
        <w:pStyle w:val="BODYYY"/>
        <w:spacing w:before="0"/>
        <w:ind w:left="851"/>
      </w:pPr>
      <w:r w:rsidRPr="00F82FAB">
        <w:lastRenderedPageBreak/>
        <w:t xml:space="preserve">The purpose of section 21 is to ensure that interests are identified and addressed </w:t>
      </w:r>
      <w:r>
        <w:t xml:space="preserve">thoroughly and transparently. </w:t>
      </w:r>
      <w:r w:rsidRPr="00F82FAB">
        <w:t xml:space="preserve">These requirements are in addition to the values </w:t>
      </w:r>
      <w:r>
        <w:t xml:space="preserve">that </w:t>
      </w:r>
      <w:r w:rsidRPr="00F82FAB">
        <w:t>Commissioners as public officials are required to</w:t>
      </w:r>
      <w:r>
        <w:t xml:space="preserve"> behave consistently with</w:t>
      </w:r>
      <w:r w:rsidRPr="00F82FAB">
        <w:t xml:space="preserve"> under the </w:t>
      </w:r>
      <w:r>
        <w:t>PA Act</w:t>
      </w:r>
      <w:r w:rsidRPr="00BC1C0C">
        <w:t>.</w:t>
      </w:r>
    </w:p>
    <w:p w14:paraId="29AC4217" w14:textId="7A9346F5" w:rsidR="00191570" w:rsidRDefault="00191570" w:rsidP="00191570">
      <w:pPr>
        <w:pStyle w:val="Heading3"/>
      </w:pPr>
      <w:bookmarkStart w:id="9" w:name="_Toc71899071"/>
      <w:bookmarkStart w:id="10" w:name="_Toc150497263"/>
      <w:r>
        <w:t>Relationship with the Section 21 VGCCC Act, the PA Act</w:t>
      </w:r>
      <w:r w:rsidRPr="00C10221">
        <w:t xml:space="preserve"> and the Code of Conduct</w:t>
      </w:r>
      <w:r>
        <w:t xml:space="preserve"> for Directors of Victorian Public Entities 2016</w:t>
      </w:r>
      <w:bookmarkEnd w:id="9"/>
      <w:bookmarkEnd w:id="10"/>
    </w:p>
    <w:p w14:paraId="507029A5" w14:textId="4F29A484" w:rsidR="00191570" w:rsidRPr="001E59EE" w:rsidRDefault="00191570" w:rsidP="00191570">
      <w:pPr>
        <w:pStyle w:val="BODYYY"/>
        <w:spacing w:before="0"/>
        <w:ind w:left="794"/>
      </w:pPr>
      <w:r>
        <w:t xml:space="preserve">The VGCCC is taken to be a public entity within the meaning of the PA Act. Accordingly, the Commission is taken to be a ‘board’ under the PA Act and each Commissioner of the VGCCC is considered to be a ‘director’ for the purposes of the PA Act. </w:t>
      </w:r>
      <w:r w:rsidRPr="001E59EE">
        <w:t>In performing their role</w:t>
      </w:r>
      <w:r>
        <w:t>,</w:t>
      </w:r>
      <w:r w:rsidRPr="001E59EE">
        <w:t xml:space="preserve"> </w:t>
      </w:r>
      <w:r>
        <w:t>Commissioners</w:t>
      </w:r>
      <w:r w:rsidRPr="001E59EE">
        <w:t xml:space="preserve"> are bound by the legislated requirements of</w:t>
      </w:r>
      <w:r>
        <w:t xml:space="preserve"> the</w:t>
      </w:r>
      <w:r w:rsidRPr="001E59EE">
        <w:t>:</w:t>
      </w:r>
    </w:p>
    <w:p w14:paraId="79FA8F1B" w14:textId="1924E7AE" w:rsidR="00191570" w:rsidRDefault="00191570" w:rsidP="00191570">
      <w:pPr>
        <w:pStyle w:val="BODYYY"/>
        <w:numPr>
          <w:ilvl w:val="0"/>
          <w:numId w:val="39"/>
        </w:numPr>
        <w:spacing w:before="0"/>
      </w:pPr>
      <w:r w:rsidRPr="001E59EE">
        <w:t xml:space="preserve">Victorian public </w:t>
      </w:r>
      <w:r>
        <w:t>sector values under section 7 of the PA Act: responsiveness,</w:t>
      </w:r>
      <w:r w:rsidRPr="001E59EE">
        <w:t xml:space="preserve"> integrity</w:t>
      </w:r>
      <w:r>
        <w:t>,</w:t>
      </w:r>
      <w:r w:rsidRPr="001E59EE">
        <w:t xml:space="preserve"> impartiality</w:t>
      </w:r>
      <w:r>
        <w:t>,</w:t>
      </w:r>
      <w:r w:rsidRPr="001E59EE">
        <w:t xml:space="preserve"> account</w:t>
      </w:r>
      <w:r>
        <w:t>ability, respect, leadership and human rights</w:t>
      </w:r>
      <w:r w:rsidR="00A62297">
        <w:t>.</w:t>
      </w:r>
    </w:p>
    <w:p w14:paraId="1C50FBCB" w14:textId="37D8BCC7" w:rsidR="00191570" w:rsidRDefault="00191570" w:rsidP="00191570">
      <w:pPr>
        <w:pStyle w:val="BODYYY"/>
        <w:numPr>
          <w:ilvl w:val="0"/>
          <w:numId w:val="39"/>
        </w:numPr>
        <w:spacing w:before="0"/>
      </w:pPr>
      <w:r>
        <w:t>Duties of Directors under section 79 of the PA Act</w:t>
      </w:r>
      <w:r w:rsidR="00A62297">
        <w:t>.</w:t>
      </w:r>
    </w:p>
    <w:p w14:paraId="69D84D52" w14:textId="77777777" w:rsidR="00191570" w:rsidRDefault="00191570" w:rsidP="00191570">
      <w:pPr>
        <w:pStyle w:val="BODYYY"/>
        <w:numPr>
          <w:ilvl w:val="0"/>
          <w:numId w:val="39"/>
        </w:numPr>
        <w:spacing w:before="0"/>
      </w:pPr>
      <w:r w:rsidRPr="001E59EE">
        <w:t>Code of Conduct</w:t>
      </w:r>
      <w:r>
        <w:t xml:space="preserve"> for Directors of Victorian Public Entities 2016 (2016 Directors’ Code of Conduct) issued by the Victorian Public Sector Commissioner</w:t>
      </w:r>
      <w:r w:rsidRPr="001E59EE">
        <w:t xml:space="preserve">, which is </w:t>
      </w:r>
      <w:r>
        <w:t xml:space="preserve">based on </w:t>
      </w:r>
      <w:r w:rsidRPr="001E59EE">
        <w:t>the above public sector values</w:t>
      </w:r>
      <w:r>
        <w:t xml:space="preserve"> and duties, and sets standards of behaviour expected of Directors in the performance of their duties</w:t>
      </w:r>
      <w:r w:rsidRPr="001E59EE">
        <w:t xml:space="preserve">. </w:t>
      </w:r>
    </w:p>
    <w:p w14:paraId="2A1B33EF" w14:textId="0DDCF380" w:rsidR="00191570" w:rsidRDefault="00191570" w:rsidP="00191570">
      <w:pPr>
        <w:pStyle w:val="BODYYY"/>
        <w:spacing w:before="0" w:after="0"/>
        <w:ind w:left="851"/>
      </w:pPr>
      <w:r>
        <w:t>Public entity boards have an obligation under section 81(1)(f) of the PA Act to ensure that processes are in place to deal with conflicts of interest in Directors. This policy and the procedures it outlines constitute those ‘processes’ for the purposes of the PA Act for the VGCCC.</w:t>
      </w:r>
    </w:p>
    <w:p w14:paraId="70A415F0" w14:textId="77777777" w:rsidR="00191570" w:rsidRDefault="00191570" w:rsidP="00191570">
      <w:pPr>
        <w:pStyle w:val="Heading2"/>
      </w:pPr>
      <w:bookmarkStart w:id="11" w:name="_Toc71899072"/>
      <w:bookmarkStart w:id="12" w:name="_Toc150497264"/>
      <w:r>
        <w:t>Application</w:t>
      </w:r>
      <w:bookmarkEnd w:id="11"/>
      <w:bookmarkEnd w:id="12"/>
    </w:p>
    <w:p w14:paraId="61EA8847" w14:textId="02EBCF85" w:rsidR="00191570" w:rsidRDefault="00191570" w:rsidP="00191570">
      <w:pPr>
        <w:pStyle w:val="BODYYY"/>
        <w:spacing w:before="0" w:after="0"/>
        <w:ind w:left="794"/>
      </w:pPr>
      <w:r>
        <w:t>This policy applies to all members of the Commission appointed under Part 2 of the VGCCC Act.</w:t>
      </w:r>
    </w:p>
    <w:p w14:paraId="7D7B01CD" w14:textId="77777777" w:rsidR="00191570" w:rsidRDefault="00191570" w:rsidP="00191570">
      <w:pPr>
        <w:pStyle w:val="Heading2"/>
      </w:pPr>
      <w:bookmarkStart w:id="13" w:name="_Toc71899073"/>
      <w:bookmarkStart w:id="14" w:name="_Toc150497265"/>
      <w:r>
        <w:t>Date effective</w:t>
      </w:r>
      <w:bookmarkEnd w:id="13"/>
      <w:bookmarkEnd w:id="14"/>
    </w:p>
    <w:p w14:paraId="730118E5" w14:textId="77777777" w:rsidR="00191570" w:rsidRDefault="00191570" w:rsidP="00191570">
      <w:pPr>
        <w:pStyle w:val="BODYYY"/>
        <w:spacing w:before="0" w:after="0"/>
        <w:ind w:left="794"/>
      </w:pPr>
      <w:r>
        <w:t>This policy was originally approved by the Commission on 6 February 2012.</w:t>
      </w:r>
    </w:p>
    <w:p w14:paraId="0C24FA1D" w14:textId="77777777" w:rsidR="00191570" w:rsidRDefault="00191570" w:rsidP="00191570">
      <w:pPr>
        <w:pStyle w:val="Heading2"/>
      </w:pPr>
      <w:bookmarkStart w:id="15" w:name="_Toc71899074"/>
      <w:bookmarkStart w:id="16" w:name="_Toc150497266"/>
      <w:r>
        <w:t>Date for review</w:t>
      </w:r>
      <w:bookmarkEnd w:id="15"/>
      <w:bookmarkEnd w:id="16"/>
    </w:p>
    <w:p w14:paraId="019BD3D3" w14:textId="77777777" w:rsidR="00191570" w:rsidRDefault="00191570" w:rsidP="00191570">
      <w:pPr>
        <w:pStyle w:val="BODYYY"/>
        <w:spacing w:before="0" w:after="0"/>
        <w:ind w:left="794"/>
      </w:pPr>
      <w:r>
        <w:t xml:space="preserve">This policy will be reviewed by the Commission by 30 June each year. </w:t>
      </w:r>
    </w:p>
    <w:p w14:paraId="5219FC59" w14:textId="77777777" w:rsidR="00191570" w:rsidRDefault="00191570" w:rsidP="00191570">
      <w:pPr>
        <w:pStyle w:val="Heading2"/>
      </w:pPr>
      <w:bookmarkStart w:id="17" w:name="_Toc71899075"/>
      <w:bookmarkStart w:id="18" w:name="_Toc150497267"/>
      <w:r>
        <w:t>Responsible officer</w:t>
      </w:r>
      <w:bookmarkEnd w:id="17"/>
      <w:bookmarkEnd w:id="18"/>
    </w:p>
    <w:p w14:paraId="49F2D31A" w14:textId="77777777" w:rsidR="00191570" w:rsidRDefault="00191570" w:rsidP="00191570">
      <w:pPr>
        <w:pStyle w:val="BODYYY"/>
        <w:spacing w:before="0" w:after="0"/>
        <w:ind w:left="794"/>
      </w:pPr>
      <w:r>
        <w:t xml:space="preserve">The Chair is the responsible officer for conflict of interest oversight on behalf of the Commission. </w:t>
      </w:r>
    </w:p>
    <w:p w14:paraId="0399598D" w14:textId="77777777" w:rsidR="00191570" w:rsidRDefault="00191570" w:rsidP="00191570">
      <w:pPr>
        <w:pStyle w:val="Heading1"/>
      </w:pPr>
      <w:bookmarkStart w:id="19" w:name="_Toc71899076"/>
      <w:bookmarkStart w:id="20" w:name="_Toc150497268"/>
      <w:r>
        <w:t>Conflicts of interests</w:t>
      </w:r>
      <w:bookmarkEnd w:id="19"/>
      <w:bookmarkEnd w:id="20"/>
    </w:p>
    <w:p w14:paraId="2D0D262E" w14:textId="77777777" w:rsidR="00191570" w:rsidRDefault="00191570" w:rsidP="00191570">
      <w:pPr>
        <w:pStyle w:val="Heading2"/>
      </w:pPr>
      <w:bookmarkStart w:id="21" w:name="_Toc71899077"/>
      <w:bookmarkStart w:id="22" w:name="_Toc150497269"/>
      <w:r>
        <w:t>Definitions</w:t>
      </w:r>
      <w:bookmarkEnd w:id="21"/>
      <w:bookmarkEnd w:id="22"/>
    </w:p>
    <w:p w14:paraId="6C7E6FC6" w14:textId="159C42DF" w:rsidR="00191570" w:rsidRDefault="00191570" w:rsidP="00191570">
      <w:pPr>
        <w:pStyle w:val="BODYYY"/>
        <w:spacing w:before="0"/>
        <w:ind w:left="794"/>
      </w:pPr>
      <w:r w:rsidRPr="007256A4">
        <w:rPr>
          <w:b/>
        </w:rPr>
        <w:t>Conflicts of interests</w:t>
      </w:r>
      <w:r>
        <w:t xml:space="preserve"> – a conflict of interest is a conflict between a Commissioner’s public duty to act in the best interests of the VGCCC and </w:t>
      </w:r>
      <w:r w:rsidR="00DC3E71">
        <w:t xml:space="preserve">their </w:t>
      </w:r>
      <w:r>
        <w:t xml:space="preserve">private interests and/or duty to another organisation. A conflict of interest can arise from attempting to avoid personal losses or gain personal advantage </w:t>
      </w:r>
      <w:r w:rsidR="00A62297">
        <w:t>–</w:t>
      </w:r>
      <w:r>
        <w:t xml:space="preserve"> whether financial or otherwise. Conflicts of interests can be actual, potential, or perceived, and may relate to private interests or public duties.</w:t>
      </w:r>
    </w:p>
    <w:p w14:paraId="4993008E" w14:textId="77777777" w:rsidR="00191570" w:rsidRDefault="00191570" w:rsidP="00191570">
      <w:pPr>
        <w:pStyle w:val="BODYYY"/>
        <w:numPr>
          <w:ilvl w:val="0"/>
          <w:numId w:val="55"/>
        </w:numPr>
        <w:spacing w:before="0"/>
      </w:pPr>
      <w:r w:rsidRPr="007256A4">
        <w:rPr>
          <w:b/>
        </w:rPr>
        <w:t>Actual conflict of interest</w:t>
      </w:r>
      <w:r>
        <w:t xml:space="preserve"> – a real conflict between a Commissioner’s public duties and responsibilities, and their private interests. </w:t>
      </w:r>
    </w:p>
    <w:p w14:paraId="27892AB8" w14:textId="77777777" w:rsidR="00191570" w:rsidRDefault="00191570" w:rsidP="00191570">
      <w:pPr>
        <w:pStyle w:val="BODYYY"/>
        <w:numPr>
          <w:ilvl w:val="0"/>
          <w:numId w:val="55"/>
        </w:numPr>
        <w:spacing w:before="0"/>
      </w:pPr>
      <w:r w:rsidRPr="007256A4">
        <w:rPr>
          <w:b/>
        </w:rPr>
        <w:t>Potential conflict of interest</w:t>
      </w:r>
      <w:r>
        <w:t xml:space="preserve"> – arises where a Commissioner has private interests that could conflict with their public duties in the future.</w:t>
      </w:r>
    </w:p>
    <w:p w14:paraId="5438943B" w14:textId="77777777" w:rsidR="00191570" w:rsidRDefault="00191570" w:rsidP="00191570">
      <w:pPr>
        <w:pStyle w:val="BODYYY"/>
        <w:numPr>
          <w:ilvl w:val="0"/>
          <w:numId w:val="55"/>
        </w:numPr>
        <w:spacing w:before="0"/>
      </w:pPr>
      <w:r w:rsidRPr="007256A4">
        <w:rPr>
          <w:b/>
        </w:rPr>
        <w:t>Perceived conflict of interest</w:t>
      </w:r>
      <w:r>
        <w:t xml:space="preserve"> – can exist where a third party could form the view that a Commissioner’s private interest could improperly influence the performance of their public duties, now or in the future. </w:t>
      </w:r>
    </w:p>
    <w:p w14:paraId="199B8EE7" w14:textId="0714D97B" w:rsidR="00191570" w:rsidRDefault="00191570" w:rsidP="00191570">
      <w:pPr>
        <w:pStyle w:val="BODYYY"/>
        <w:spacing w:before="0"/>
        <w:ind w:left="794"/>
      </w:pPr>
      <w:r w:rsidRPr="007256A4">
        <w:rPr>
          <w:b/>
        </w:rPr>
        <w:lastRenderedPageBreak/>
        <w:t>Private interests</w:t>
      </w:r>
      <w:r>
        <w:t xml:space="preserve"> – </w:t>
      </w:r>
    </w:p>
    <w:p w14:paraId="05136937" w14:textId="715AD2D1" w:rsidR="004B0B1E" w:rsidRPr="008523F5" w:rsidRDefault="004B0B1E" w:rsidP="004B0B1E">
      <w:pPr>
        <w:spacing w:after="0"/>
        <w:ind w:left="794"/>
        <w:rPr>
          <w:rFonts w:eastAsia="Calibri" w:cs="Arial"/>
          <w:szCs w:val="20"/>
          <w:lang w:val="en-AU"/>
        </w:rPr>
      </w:pPr>
      <w:r w:rsidRPr="008523F5">
        <w:rPr>
          <w:rFonts w:eastAsia="Calibri" w:cs="Arial"/>
          <w:szCs w:val="20"/>
          <w:lang w:val="en-AU"/>
        </w:rPr>
        <w:t xml:space="preserve">anything that can influence an employee. Private interests include </w:t>
      </w:r>
      <w:r w:rsidRPr="004B0B1E">
        <w:rPr>
          <w:rFonts w:eastAsia="Calibri" w:cs="Arial"/>
          <w:bCs/>
          <w:szCs w:val="20"/>
          <w:lang w:val="en-AU"/>
        </w:rPr>
        <w:t xml:space="preserve">direct </w:t>
      </w:r>
      <w:r w:rsidRPr="008523F5">
        <w:rPr>
          <w:rFonts w:eastAsia="Calibri" w:cs="Arial"/>
          <w:szCs w:val="20"/>
          <w:lang w:val="en-AU"/>
        </w:rPr>
        <w:t xml:space="preserve">interests, such as personal, family, professional or business interests, as well as </w:t>
      </w:r>
      <w:r w:rsidRPr="004B0B1E">
        <w:rPr>
          <w:rFonts w:eastAsia="Calibri" w:cs="Arial"/>
          <w:bCs/>
          <w:szCs w:val="20"/>
          <w:lang w:val="en-AU"/>
        </w:rPr>
        <w:t>indirect interests</w:t>
      </w:r>
      <w:r w:rsidRPr="008523F5">
        <w:rPr>
          <w:rFonts w:eastAsia="Calibri" w:cs="Arial"/>
          <w:szCs w:val="20"/>
          <w:lang w:val="en-AU"/>
        </w:rPr>
        <w:t xml:space="preserve">, such as the personal, family, professional or business interests of individuals or groups with whom the </w:t>
      </w:r>
      <w:r>
        <w:rPr>
          <w:rFonts w:eastAsia="Calibri" w:cs="Arial"/>
          <w:szCs w:val="20"/>
          <w:lang w:val="en-AU"/>
        </w:rPr>
        <w:t>Commissioner</w:t>
      </w:r>
      <w:r w:rsidRPr="008523F5">
        <w:rPr>
          <w:rFonts w:eastAsia="Calibri" w:cs="Arial"/>
          <w:szCs w:val="20"/>
          <w:lang w:val="en-AU"/>
        </w:rPr>
        <w:t xml:space="preserve"> is, or was recently, closely associated. </w:t>
      </w:r>
    </w:p>
    <w:p w14:paraId="54B820B8" w14:textId="77777777" w:rsidR="004B0B1E" w:rsidRPr="008523F5" w:rsidRDefault="004B0B1E" w:rsidP="004B0B1E">
      <w:pPr>
        <w:spacing w:before="120"/>
        <w:ind w:left="794"/>
        <w:rPr>
          <w:rFonts w:eastAsia="Times New Roman" w:cs="Arial"/>
          <w:lang w:val="en-AU"/>
        </w:rPr>
      </w:pPr>
      <w:r w:rsidRPr="008523F5">
        <w:rPr>
          <w:rFonts w:eastAsia="Calibri" w:cs="Arial"/>
          <w:lang w:val="en-AU"/>
        </w:rPr>
        <w:t xml:space="preserve">Private interests may be </w:t>
      </w:r>
      <w:r w:rsidRPr="004B0B1E">
        <w:rPr>
          <w:rFonts w:eastAsia="Calibri" w:cs="Arial"/>
          <w:bCs/>
          <w:lang w:val="en-AU"/>
        </w:rPr>
        <w:t xml:space="preserve">pecuniary </w:t>
      </w:r>
      <w:r w:rsidRPr="008523F5">
        <w:rPr>
          <w:rFonts w:eastAsia="Calibri" w:cs="Arial"/>
          <w:lang w:val="en-AU"/>
        </w:rPr>
        <w:t xml:space="preserve">(i.e. financial), which includes any actual, potential or perceived financial gain or loss, as well as </w:t>
      </w:r>
      <w:r w:rsidRPr="004B0B1E">
        <w:rPr>
          <w:rFonts w:eastAsia="Calibri" w:cs="Arial"/>
          <w:bCs/>
          <w:lang w:val="en-AU"/>
        </w:rPr>
        <w:t>non-pecuniary</w:t>
      </w:r>
      <w:r w:rsidRPr="008523F5">
        <w:rPr>
          <w:rFonts w:eastAsia="Calibri" w:cs="Arial"/>
          <w:lang w:val="en-AU"/>
        </w:rPr>
        <w:t>, which includes any tendency toward favour or prejudice resulting from personal or family relationships, such as friendships, enemies or sporting, cultural or social activities.</w:t>
      </w:r>
    </w:p>
    <w:p w14:paraId="7FC5E3DE" w14:textId="77777777" w:rsidR="00191570" w:rsidRDefault="00191570" w:rsidP="00191570">
      <w:pPr>
        <w:pStyle w:val="BODYYY"/>
        <w:spacing w:before="0"/>
        <w:ind w:left="794"/>
      </w:pPr>
      <w:r w:rsidRPr="00923E9F">
        <w:rPr>
          <w:b/>
        </w:rPr>
        <w:t xml:space="preserve">Consensual personal relationships - </w:t>
      </w:r>
      <w:r w:rsidRPr="00A4715D">
        <w:t>a</w:t>
      </w:r>
      <w:r w:rsidRPr="00923E9F">
        <w:t xml:space="preserve"> </w:t>
      </w:r>
      <w:r>
        <w:t>consensual personal relationship between a Commissioner and a close associate constitutes a potential conflict of interest and must be declared.</w:t>
      </w:r>
    </w:p>
    <w:p w14:paraId="65C3C571" w14:textId="1F058512" w:rsidR="00191570" w:rsidRDefault="00191570" w:rsidP="00191570">
      <w:pPr>
        <w:pStyle w:val="BODYYY"/>
        <w:spacing w:before="0"/>
        <w:ind w:left="794"/>
      </w:pPr>
      <w:r w:rsidRPr="00923E9F">
        <w:rPr>
          <w:b/>
        </w:rPr>
        <w:t>Pecuniary or non</w:t>
      </w:r>
      <w:r w:rsidRPr="00D3328A">
        <w:rPr>
          <w:b/>
        </w:rPr>
        <w:t>-pecuniary</w:t>
      </w:r>
      <w:r>
        <w:t xml:space="preserve"> </w:t>
      </w:r>
      <w:r w:rsidR="004B0B1E">
        <w:t xml:space="preserve">– </w:t>
      </w:r>
      <w:r>
        <w:t xml:space="preserve">private interests can be divided into two types: </w:t>
      </w:r>
    </w:p>
    <w:p w14:paraId="227A5B64" w14:textId="77777777" w:rsidR="00191570" w:rsidRDefault="00191570" w:rsidP="00191570">
      <w:pPr>
        <w:pStyle w:val="BODYYY"/>
        <w:numPr>
          <w:ilvl w:val="0"/>
          <w:numId w:val="57"/>
        </w:numPr>
        <w:spacing w:before="0"/>
      </w:pPr>
      <w:r w:rsidRPr="007256A4">
        <w:rPr>
          <w:b/>
        </w:rPr>
        <w:t>Pecuniary interests</w:t>
      </w:r>
      <w:r>
        <w:t xml:space="preserve"> – involve an actual, potential, or perceived financial gain or loss. Money does not need to change hands for an interest to be pecuniary. People have a pecuniary interest if they (or a relative, or a close associate) own property, hold shares, have a position in a company bidding for government work, or receive benefits such as concessions, discounts, gifts, or hospitality from a particular source.</w:t>
      </w:r>
    </w:p>
    <w:p w14:paraId="4B10CEEA" w14:textId="77777777" w:rsidR="00191570" w:rsidRDefault="00191570" w:rsidP="00191570">
      <w:pPr>
        <w:pStyle w:val="BODYYY"/>
        <w:numPr>
          <w:ilvl w:val="0"/>
          <w:numId w:val="56"/>
        </w:numPr>
        <w:spacing w:before="0"/>
      </w:pPr>
      <w:r w:rsidRPr="007256A4">
        <w:rPr>
          <w:b/>
        </w:rPr>
        <w:t>Non-pecuniary interests</w:t>
      </w:r>
      <w:r>
        <w:t xml:space="preserve"> – interests which do not have a financial component. They may arise from personal or family relationships, or involvement in sporting, social, or cultural activities. They include any tendency toward favour or prejudice resulting from friendship, animosity, or other personal involvement with another person or group. If personal values are likely to impact on the proper performance of public duty, then these can also lead to a conflict of interest. Enmity as well as friendship can give rise to a conflict of interest.</w:t>
      </w:r>
    </w:p>
    <w:p w14:paraId="5EDEBAB3" w14:textId="395EEA18" w:rsidR="00191570" w:rsidRDefault="00191570" w:rsidP="00191570">
      <w:pPr>
        <w:pStyle w:val="BODYYY"/>
        <w:spacing w:before="0"/>
        <w:ind w:left="794"/>
      </w:pPr>
      <w:r w:rsidRPr="007256A4">
        <w:rPr>
          <w:b/>
        </w:rPr>
        <w:t>Public duty</w:t>
      </w:r>
      <w:r w:rsidRPr="009A47E8">
        <w:t xml:space="preserve"> – the duty of all </w:t>
      </w:r>
      <w:r>
        <w:t>Commissioners</w:t>
      </w:r>
      <w:r w:rsidRPr="009A47E8">
        <w:t xml:space="preserve"> to put the public interest and the interest of </w:t>
      </w:r>
      <w:r>
        <w:t>the VGCCC</w:t>
      </w:r>
      <w:r w:rsidRPr="009A47E8">
        <w:t xml:space="preserve"> above their private interests when carrying out their official duties. </w:t>
      </w:r>
    </w:p>
    <w:p w14:paraId="21AD611C" w14:textId="77777777" w:rsidR="00191570" w:rsidRDefault="00191570" w:rsidP="00191570">
      <w:pPr>
        <w:pStyle w:val="BODYYY"/>
        <w:spacing w:before="0" w:after="0"/>
        <w:ind w:left="794"/>
      </w:pPr>
      <w:r w:rsidRPr="007256A4">
        <w:rPr>
          <w:b/>
        </w:rPr>
        <w:t>Conflict of duties</w:t>
      </w:r>
      <w:r w:rsidRPr="009A47E8">
        <w:t xml:space="preserve"> – in this context, conflict arising from a</w:t>
      </w:r>
      <w:r>
        <w:t xml:space="preserve"> Commissioner </w:t>
      </w:r>
      <w:r w:rsidRPr="009A47E8">
        <w:t xml:space="preserve">having multiple public duties. These conflicts may arise as a result of membership of multiple boards, and are also particularly acute for </w:t>
      </w:r>
      <w:r>
        <w:t>Commissioners</w:t>
      </w:r>
      <w:r w:rsidRPr="009A47E8">
        <w:t xml:space="preserve"> appointed as ‘representatives’ of particular interest groups, or by virtue of their membership of a profession, or their position as a public servant. In this policy, a reference to a conflict of interest is deemed to include a conflict of duty.</w:t>
      </w:r>
    </w:p>
    <w:p w14:paraId="13734139" w14:textId="77777777" w:rsidR="00191570" w:rsidRDefault="00191570" w:rsidP="00191570">
      <w:pPr>
        <w:pStyle w:val="Heading2"/>
      </w:pPr>
      <w:bookmarkStart w:id="23" w:name="_Toc71899078"/>
      <w:bookmarkStart w:id="24" w:name="_Toc150497270"/>
      <w:r>
        <w:t>What types of interests should be disclosed</w:t>
      </w:r>
      <w:bookmarkEnd w:id="23"/>
      <w:bookmarkEnd w:id="24"/>
    </w:p>
    <w:p w14:paraId="4799D736" w14:textId="12CE6077" w:rsidR="00191570" w:rsidRDefault="00191570" w:rsidP="00191570">
      <w:pPr>
        <w:pStyle w:val="BODYYY"/>
        <w:spacing w:before="0"/>
        <w:ind w:left="794"/>
      </w:pPr>
      <w:r w:rsidRPr="00F82FAB">
        <w:t xml:space="preserve">The following provides a framework for identifying which interests should be disclosed under the </w:t>
      </w:r>
      <w:r>
        <w:t>VGCCC Act</w:t>
      </w:r>
      <w:r w:rsidRPr="00F82FAB">
        <w:t xml:space="preserve">. </w:t>
      </w:r>
    </w:p>
    <w:p w14:paraId="73E21299" w14:textId="3E055D2D" w:rsidR="00191570" w:rsidRPr="00F82FAB" w:rsidRDefault="00191570" w:rsidP="00191570">
      <w:pPr>
        <w:pStyle w:val="BODYYY"/>
        <w:spacing w:before="0"/>
        <w:ind w:left="794"/>
      </w:pPr>
      <w:r w:rsidRPr="00F82FAB">
        <w:t xml:space="preserve">The </w:t>
      </w:r>
      <w:r>
        <w:t xml:space="preserve">VGCCC </w:t>
      </w:r>
      <w:r w:rsidRPr="00F82FAB">
        <w:t>Act only requires a Commissioner to disclose an interest in a matter which:</w:t>
      </w:r>
    </w:p>
    <w:p w14:paraId="42F06B92" w14:textId="77777777" w:rsidR="00191570" w:rsidRPr="00F82FAB" w:rsidRDefault="00191570" w:rsidP="00191570">
      <w:pPr>
        <w:pStyle w:val="BODYYY"/>
        <w:numPr>
          <w:ilvl w:val="0"/>
          <w:numId w:val="40"/>
        </w:numPr>
        <w:spacing w:before="0"/>
        <w:ind w:left="1154"/>
      </w:pPr>
      <w:r>
        <w:t>I</w:t>
      </w:r>
      <w:r w:rsidRPr="00F82FAB">
        <w:t>s being considered at a Commission meeting at which they are</w:t>
      </w:r>
      <w:r>
        <w:t xml:space="preserve"> or </w:t>
      </w:r>
      <w:r w:rsidRPr="00F82FAB">
        <w:t>will be attending</w:t>
      </w:r>
      <w:r>
        <w:t>, or</w:t>
      </w:r>
    </w:p>
    <w:p w14:paraId="1C5BA0C6" w14:textId="5C9F8795" w:rsidR="00191570" w:rsidRDefault="00191570" w:rsidP="00191570">
      <w:pPr>
        <w:pStyle w:val="BODYYY"/>
        <w:numPr>
          <w:ilvl w:val="0"/>
          <w:numId w:val="40"/>
        </w:numPr>
        <w:spacing w:before="0"/>
        <w:ind w:left="1151" w:hanging="357"/>
      </w:pPr>
      <w:r>
        <w:t>H</w:t>
      </w:r>
      <w:r w:rsidRPr="00F82FAB">
        <w:t xml:space="preserve">as been allocated to them for consideration outside a Commission meeting or </w:t>
      </w:r>
      <w:r>
        <w:t xml:space="preserve">for an </w:t>
      </w:r>
      <w:r w:rsidRPr="00F82FAB">
        <w:t>inquiry (for instance, determining</w:t>
      </w:r>
      <w:r w:rsidR="004B0B1E">
        <w:t xml:space="preserve"> an </w:t>
      </w:r>
      <w:r w:rsidRPr="00F82FAB">
        <w:t>application</w:t>
      </w:r>
      <w:r w:rsidR="004B0B1E">
        <w:t xml:space="preserve"> to appeal a decision of a delegate</w:t>
      </w:r>
      <w:r w:rsidRPr="00F82FAB">
        <w:t>).</w:t>
      </w:r>
    </w:p>
    <w:p w14:paraId="02339284" w14:textId="77777777" w:rsidR="00191570" w:rsidRDefault="00191570" w:rsidP="00191570">
      <w:pPr>
        <w:pStyle w:val="BODYYY"/>
        <w:spacing w:before="0"/>
      </w:pPr>
      <w:r>
        <w:t xml:space="preserve">The Commissioner does not need to disclose an interest if they are not involved in considering a matter. </w:t>
      </w:r>
    </w:p>
    <w:p w14:paraId="0F88897A" w14:textId="65399941" w:rsidR="00191570" w:rsidRDefault="00191570" w:rsidP="00191570">
      <w:pPr>
        <w:pStyle w:val="BODYYY"/>
        <w:spacing w:before="0"/>
      </w:pPr>
      <w:r w:rsidRPr="004A73FF">
        <w:t>T</w:t>
      </w:r>
      <w:r w:rsidRPr="008144D5">
        <w:t>he test to be applied in determi</w:t>
      </w:r>
      <w:r>
        <w:t>ning whether an interest is one</w:t>
      </w:r>
      <w:r w:rsidRPr="008144D5">
        <w:t xml:space="preserve"> which need</w:t>
      </w:r>
      <w:r>
        <w:t>s be disclosed under section 21 of the VGCCC Act</w:t>
      </w:r>
      <w:r w:rsidRPr="008144D5">
        <w:t xml:space="preserve"> is </w:t>
      </w:r>
      <w:r w:rsidRPr="002163AE">
        <w:rPr>
          <w:i/>
        </w:rPr>
        <w:t>whether a fair-minded lay observer might apprehend that the Commissioner might not bring an impartial mind to the consideration of the matter.</w:t>
      </w:r>
      <w:r w:rsidRPr="008144D5">
        <w:t xml:space="preserve"> </w:t>
      </w:r>
    </w:p>
    <w:p w14:paraId="040ED7A8" w14:textId="77777777" w:rsidR="00191570" w:rsidRDefault="00191570" w:rsidP="00191570">
      <w:pPr>
        <w:pStyle w:val="BODYYY"/>
        <w:spacing w:before="0"/>
      </w:pPr>
      <w:r w:rsidRPr="008144D5">
        <w:t xml:space="preserve">Further, the existence of an interest or association of the type provided in the illustrative examples </w:t>
      </w:r>
      <w:r>
        <w:t xml:space="preserve">listed </w:t>
      </w:r>
      <w:r w:rsidRPr="008144D5">
        <w:t xml:space="preserve">below will not necessarily prevent a Commissioner from deciding a matter.  Whether the interest is </w:t>
      </w:r>
      <w:r>
        <w:t xml:space="preserve">in fact </w:t>
      </w:r>
      <w:r w:rsidRPr="008144D5">
        <w:t xml:space="preserve">a </w:t>
      </w:r>
      <w:r w:rsidRPr="00645936">
        <w:rPr>
          <w:i/>
        </w:rPr>
        <w:t>material conflict of interest</w:t>
      </w:r>
      <w:r>
        <w:t xml:space="preserve"> </w:t>
      </w:r>
      <w:r w:rsidRPr="008144D5">
        <w:t>will ultimately depend on the facts.</w:t>
      </w:r>
    </w:p>
    <w:p w14:paraId="4873F357" w14:textId="77777777" w:rsidR="00191570" w:rsidRDefault="00191570" w:rsidP="00191570">
      <w:pPr>
        <w:pStyle w:val="BODYYY"/>
        <w:spacing w:before="0"/>
      </w:pPr>
      <w:r>
        <w:t xml:space="preserve">The </w:t>
      </w:r>
      <w:r w:rsidRPr="00B65E80">
        <w:t>list</w:t>
      </w:r>
      <w:r>
        <w:t xml:space="preserve"> below</w:t>
      </w:r>
      <w:r w:rsidRPr="00B65E80">
        <w:t xml:space="preserve"> provides some illustra</w:t>
      </w:r>
      <w:r>
        <w:t>tions of the types of conflicts which might arise</w:t>
      </w:r>
      <w:r w:rsidRPr="00B65E80">
        <w:t xml:space="preserve"> for</w:t>
      </w:r>
      <w:r>
        <w:t xml:space="preserve"> Commissioners, is in no particular order of priority, and should be used as a general guide to determine if a conflict of interest exists in a particular situation.</w:t>
      </w:r>
    </w:p>
    <w:p w14:paraId="234B29FF" w14:textId="77777777" w:rsidR="00191570" w:rsidRDefault="00191570" w:rsidP="00191570">
      <w:pPr>
        <w:pStyle w:val="BODYYY"/>
        <w:spacing w:before="0"/>
      </w:pPr>
      <w:r>
        <w:lastRenderedPageBreak/>
        <w:t xml:space="preserve">For the purposes of the illustrations provided, the term ‘a party to a/the matter’ may include a/an: </w:t>
      </w:r>
    </w:p>
    <w:p w14:paraId="1596E9DD" w14:textId="049F7C1F" w:rsidR="00191570" w:rsidRDefault="00191570" w:rsidP="00191570">
      <w:pPr>
        <w:pStyle w:val="BODYYY"/>
        <w:numPr>
          <w:ilvl w:val="0"/>
          <w:numId w:val="44"/>
        </w:numPr>
        <w:spacing w:before="0"/>
      </w:pPr>
      <w:r>
        <w:t>Applicant under gambling legislation</w:t>
      </w:r>
      <w:r w:rsidR="00A62297">
        <w:t>.</w:t>
      </w:r>
    </w:p>
    <w:p w14:paraId="59968F09" w14:textId="785994D1" w:rsidR="00191570" w:rsidRDefault="00191570" w:rsidP="00191570">
      <w:pPr>
        <w:pStyle w:val="BODYYY"/>
        <w:numPr>
          <w:ilvl w:val="0"/>
          <w:numId w:val="44"/>
        </w:numPr>
        <w:spacing w:before="0"/>
      </w:pPr>
      <w:r>
        <w:t>L</w:t>
      </w:r>
      <w:r w:rsidRPr="00637076">
        <w:t>icensee or permittee</w:t>
      </w:r>
      <w:r w:rsidR="00A62297">
        <w:t>.</w:t>
      </w:r>
    </w:p>
    <w:p w14:paraId="7FFA3E9B" w14:textId="1E6F4792" w:rsidR="00191570" w:rsidRPr="00637076" w:rsidRDefault="00191570" w:rsidP="00191570">
      <w:pPr>
        <w:pStyle w:val="BODYYY"/>
        <w:numPr>
          <w:ilvl w:val="0"/>
          <w:numId w:val="44"/>
        </w:numPr>
        <w:spacing w:before="0"/>
      </w:pPr>
      <w:r>
        <w:t>K</w:t>
      </w:r>
      <w:r w:rsidRPr="00637076">
        <w:t>ey operative</w:t>
      </w:r>
      <w:r w:rsidR="004B0B1E">
        <w:rPr>
          <w:rStyle w:val="FootnoteReference"/>
        </w:rPr>
        <w:footnoteReference w:id="2"/>
      </w:r>
      <w:r w:rsidR="00A62297">
        <w:t>.</w:t>
      </w:r>
    </w:p>
    <w:p w14:paraId="3E40C78E" w14:textId="18C31AD4" w:rsidR="00191570" w:rsidRDefault="00191570" w:rsidP="00191570">
      <w:pPr>
        <w:pStyle w:val="BODYYY"/>
        <w:numPr>
          <w:ilvl w:val="0"/>
          <w:numId w:val="44"/>
        </w:numPr>
        <w:spacing w:before="0"/>
      </w:pPr>
      <w:r>
        <w:t>Bookmaker</w:t>
      </w:r>
      <w:r w:rsidR="00A62297">
        <w:t>.</w:t>
      </w:r>
    </w:p>
    <w:p w14:paraId="5634672E" w14:textId="0FE8EADF" w:rsidR="00191570" w:rsidRDefault="00191570" w:rsidP="00191570">
      <w:pPr>
        <w:pStyle w:val="BODYYY"/>
        <w:numPr>
          <w:ilvl w:val="0"/>
          <w:numId w:val="44"/>
        </w:numPr>
        <w:spacing w:before="0"/>
      </w:pPr>
      <w:r>
        <w:t>Commercial raffle organiser</w:t>
      </w:r>
      <w:r w:rsidR="00A62297">
        <w:t>.</w:t>
      </w:r>
    </w:p>
    <w:p w14:paraId="33672C53" w14:textId="758714CC" w:rsidR="00191570" w:rsidRDefault="00191570" w:rsidP="00191570">
      <w:pPr>
        <w:pStyle w:val="BODYYY"/>
        <w:numPr>
          <w:ilvl w:val="0"/>
          <w:numId w:val="44"/>
        </w:numPr>
        <w:spacing w:before="0"/>
      </w:pPr>
      <w:r>
        <w:t>Objector to an application</w:t>
      </w:r>
      <w:r w:rsidR="00A62297">
        <w:t>.</w:t>
      </w:r>
    </w:p>
    <w:p w14:paraId="181C331D" w14:textId="5A35C141" w:rsidR="00191570" w:rsidRDefault="00191570" w:rsidP="00191570">
      <w:pPr>
        <w:pStyle w:val="BODYYY"/>
        <w:numPr>
          <w:ilvl w:val="0"/>
          <w:numId w:val="44"/>
        </w:numPr>
        <w:spacing w:before="0"/>
      </w:pPr>
      <w:r>
        <w:t>Manager or employee of a regulated entity</w:t>
      </w:r>
      <w:r w:rsidR="00A62297">
        <w:t>.</w:t>
      </w:r>
    </w:p>
    <w:p w14:paraId="0CE1938A" w14:textId="5B43D139" w:rsidR="00191570" w:rsidRDefault="00191570" w:rsidP="00191570">
      <w:pPr>
        <w:pStyle w:val="BODYYY"/>
        <w:numPr>
          <w:ilvl w:val="0"/>
          <w:numId w:val="44"/>
        </w:numPr>
        <w:spacing w:before="0"/>
      </w:pPr>
      <w:r>
        <w:t>Employee who must be licensed by the VGCCC</w:t>
      </w:r>
      <w:r w:rsidR="00A62297">
        <w:t>.</w:t>
      </w:r>
    </w:p>
    <w:p w14:paraId="44E5CADB" w14:textId="53BE6627" w:rsidR="00191570" w:rsidRDefault="00191570" w:rsidP="00191570">
      <w:pPr>
        <w:pStyle w:val="BODYYY"/>
        <w:numPr>
          <w:ilvl w:val="0"/>
          <w:numId w:val="44"/>
        </w:numPr>
        <w:spacing w:before="0"/>
      </w:pPr>
      <w:r>
        <w:t>Representative of a local council</w:t>
      </w:r>
      <w:r w:rsidR="00A62297">
        <w:t>.</w:t>
      </w:r>
    </w:p>
    <w:p w14:paraId="37FEA414" w14:textId="77777777" w:rsidR="00191570" w:rsidRDefault="00191570" w:rsidP="00191570">
      <w:pPr>
        <w:pStyle w:val="BODYYY"/>
        <w:numPr>
          <w:ilvl w:val="0"/>
          <w:numId w:val="44"/>
        </w:numPr>
        <w:spacing w:before="0"/>
      </w:pPr>
      <w:r>
        <w:t>Nominee.</w:t>
      </w:r>
    </w:p>
    <w:p w14:paraId="3EE96CBB" w14:textId="77777777" w:rsidR="00191570" w:rsidRDefault="00191570" w:rsidP="00191570">
      <w:pPr>
        <w:pStyle w:val="Heading3"/>
      </w:pPr>
      <w:bookmarkStart w:id="25" w:name="_Toc71899079"/>
      <w:bookmarkStart w:id="26" w:name="_Toc150497271"/>
      <w:r>
        <w:t>Types of interests</w:t>
      </w:r>
      <w:bookmarkEnd w:id="25"/>
      <w:bookmarkEnd w:id="26"/>
    </w:p>
    <w:p w14:paraId="1BFD1721" w14:textId="77777777" w:rsidR="00191570" w:rsidRDefault="00191570" w:rsidP="00191570">
      <w:pPr>
        <w:pStyle w:val="BodyText"/>
        <w:ind w:left="794"/>
      </w:pPr>
      <w:r>
        <w:t>Commissioners/Chair should disclose the following types of interests:</w:t>
      </w:r>
    </w:p>
    <w:p w14:paraId="576D149E" w14:textId="79F85B18"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olds a substantial number of shares in a company which is a party to the matter being considered</w:t>
      </w:r>
      <w:r w:rsidR="00A62297">
        <w:rPr>
          <w:sz w:val="20"/>
          <w:szCs w:val="20"/>
        </w:rPr>
        <w:t>.</w:t>
      </w:r>
    </w:p>
    <w:p w14:paraId="0EBCE41E" w14:textId="47CB9078"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olds shares in a company which is a party to the matter being considered and the value of those shares may be affected by the decision of the Commission</w:t>
      </w:r>
      <w:r w:rsidR="00A62297">
        <w:rPr>
          <w:sz w:val="20"/>
          <w:szCs w:val="20"/>
        </w:rPr>
        <w:t>.</w:t>
      </w:r>
    </w:p>
    <w:p w14:paraId="7F8809E4" w14:textId="67722308"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C</w:t>
      </w:r>
      <w:r w:rsidRPr="00CD0BB5">
        <w:rPr>
          <w:sz w:val="20"/>
          <w:szCs w:val="20"/>
        </w:rPr>
        <w:t>ontrols and/or is directly associated professionally with a party to the matter being considered</w:t>
      </w:r>
      <w:r w:rsidR="00A62297">
        <w:rPr>
          <w:sz w:val="20"/>
          <w:szCs w:val="20"/>
        </w:rPr>
        <w:t>.</w:t>
      </w:r>
    </w:p>
    <w:p w14:paraId="20F07C79" w14:textId="20B6E923"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I</w:t>
      </w:r>
      <w:r w:rsidRPr="00CD0BB5">
        <w:rPr>
          <w:sz w:val="20"/>
          <w:szCs w:val="20"/>
        </w:rPr>
        <w:t>s a member of a committee of management for a club or unincorporated association linked with the matter being considered</w:t>
      </w:r>
      <w:r w:rsidR="00A62297">
        <w:rPr>
          <w:sz w:val="20"/>
          <w:szCs w:val="20"/>
        </w:rPr>
        <w:t>.</w:t>
      </w:r>
    </w:p>
    <w:p w14:paraId="44E3DF2F" w14:textId="241AA787"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I</w:t>
      </w:r>
      <w:r w:rsidRPr="00CD0BB5">
        <w:rPr>
          <w:sz w:val="20"/>
          <w:szCs w:val="20"/>
        </w:rPr>
        <w:t>s contracted to or employed by a party to a matter or provided the information to the Commission in relation to the matter being considered</w:t>
      </w:r>
      <w:r w:rsidR="00A62297">
        <w:rPr>
          <w:sz w:val="20"/>
          <w:szCs w:val="20"/>
        </w:rPr>
        <w:t>.</w:t>
      </w:r>
    </w:p>
    <w:p w14:paraId="74F5F4DF" w14:textId="2D99A848"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as accepted an appointment at an organisation which is a party to or provided the information in relation to the matter being considered</w:t>
      </w:r>
      <w:r w:rsidR="00A62297">
        <w:rPr>
          <w:sz w:val="20"/>
          <w:szCs w:val="20"/>
        </w:rPr>
        <w:t>.</w:t>
      </w:r>
    </w:p>
    <w:p w14:paraId="1AC0174F" w14:textId="7AD99B82"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W</w:t>
      </w:r>
      <w:r w:rsidRPr="00CD0BB5">
        <w:rPr>
          <w:sz w:val="20"/>
          <w:szCs w:val="20"/>
        </w:rPr>
        <w:t>as contracted or employed within the previous two years at an organisation which is a party to a matter being considered</w:t>
      </w:r>
      <w:r w:rsidR="00A62297">
        <w:rPr>
          <w:sz w:val="20"/>
          <w:szCs w:val="20"/>
        </w:rPr>
        <w:t>.</w:t>
      </w:r>
    </w:p>
    <w:p w14:paraId="564AF4C2" w14:textId="66D7CD3F"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as a personal relationship with a party to a matter or the provider of information in relation to the matter being considered</w:t>
      </w:r>
      <w:r w:rsidR="00A62297">
        <w:rPr>
          <w:sz w:val="20"/>
          <w:szCs w:val="20"/>
        </w:rPr>
        <w:t>.</w:t>
      </w:r>
    </w:p>
    <w:p w14:paraId="149CA61F" w14:textId="0875DB4C"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S</w:t>
      </w:r>
      <w:r w:rsidRPr="00CD0BB5">
        <w:rPr>
          <w:sz w:val="20"/>
          <w:szCs w:val="20"/>
        </w:rPr>
        <w:t>tands to benefit in any material way from the decision</w:t>
      </w:r>
      <w:r w:rsidR="00A62297">
        <w:rPr>
          <w:sz w:val="20"/>
          <w:szCs w:val="20"/>
        </w:rPr>
        <w:t>.</w:t>
      </w:r>
    </w:p>
    <w:p w14:paraId="589DBF76" w14:textId="2C6AA2B7" w:rsidR="00191570" w:rsidRPr="00CD0BB5" w:rsidRDefault="00191570" w:rsidP="00191570">
      <w:pPr>
        <w:pStyle w:val="BodyText"/>
        <w:numPr>
          <w:ilvl w:val="0"/>
          <w:numId w:val="45"/>
        </w:numPr>
        <w:tabs>
          <w:tab w:val="left" w:pos="1624"/>
        </w:tabs>
        <w:ind w:left="1151" w:hanging="357"/>
        <w:jc w:val="both"/>
      </w:pPr>
      <w:r>
        <w:t>A</w:t>
      </w:r>
      <w:r w:rsidRPr="00CD0BB5">
        <w:t xml:space="preserve"> close family member stands to benefit in any</w:t>
      </w:r>
      <w:r>
        <w:t xml:space="preserve"> material way from the decision</w:t>
      </w:r>
      <w:r w:rsidR="00A62297">
        <w:t>.</w:t>
      </w:r>
    </w:p>
    <w:p w14:paraId="36C707A8" w14:textId="11F1117D"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S</w:t>
      </w:r>
      <w:r w:rsidRPr="00CD0BB5">
        <w:rPr>
          <w:sz w:val="20"/>
          <w:szCs w:val="20"/>
        </w:rPr>
        <w:t>pouse or partner holds a substantial number of shares in a company which is a party to the matter</w:t>
      </w:r>
      <w:r w:rsidR="00A62297">
        <w:rPr>
          <w:sz w:val="20"/>
          <w:szCs w:val="20"/>
        </w:rPr>
        <w:t>.</w:t>
      </w:r>
    </w:p>
    <w:p w14:paraId="0C7D8031" w14:textId="68389511"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W</w:t>
      </w:r>
      <w:r w:rsidRPr="00CD0BB5">
        <w:rPr>
          <w:sz w:val="20"/>
          <w:szCs w:val="20"/>
        </w:rPr>
        <w:t>as contracted or employed more than two years ago at the same organisation as a party to a matter under consideration</w:t>
      </w:r>
      <w:r w:rsidR="00A62297">
        <w:rPr>
          <w:sz w:val="20"/>
          <w:szCs w:val="20"/>
        </w:rPr>
        <w:t>.</w:t>
      </w:r>
    </w:p>
    <w:p w14:paraId="45AB8834" w14:textId="5DBB90E7"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olds shares or other financial interest indirectly in an organisation which is a party to a matter, including through superannuation or managed investment vehicles, where there is a material degree of control or knowledge of those holdings</w:t>
      </w:r>
      <w:r w:rsidR="00A62297">
        <w:rPr>
          <w:sz w:val="20"/>
          <w:szCs w:val="20"/>
        </w:rPr>
        <w:t>.</w:t>
      </w:r>
    </w:p>
    <w:p w14:paraId="609519C4" w14:textId="7FB2E50D"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L</w:t>
      </w:r>
      <w:r w:rsidRPr="00CD0BB5">
        <w:rPr>
          <w:sz w:val="20"/>
          <w:szCs w:val="20"/>
        </w:rPr>
        <w:t>ives or owns property in close proximity to the location of the venue the subject of the application or the matter being considered</w:t>
      </w:r>
      <w:r w:rsidR="00A62297">
        <w:rPr>
          <w:sz w:val="20"/>
          <w:szCs w:val="20"/>
        </w:rPr>
        <w:t>.</w:t>
      </w:r>
    </w:p>
    <w:p w14:paraId="530A5D1A" w14:textId="0D0A1C96" w:rsidR="00191570" w:rsidRPr="00CD0BB5" w:rsidRDefault="00191570" w:rsidP="00191570">
      <w:pPr>
        <w:pStyle w:val="BODYYY"/>
        <w:numPr>
          <w:ilvl w:val="0"/>
          <w:numId w:val="45"/>
        </w:numPr>
        <w:tabs>
          <w:tab w:val="left" w:pos="1624"/>
        </w:tabs>
        <w:spacing w:before="0"/>
        <w:ind w:left="1151" w:hanging="357"/>
        <w:rPr>
          <w:szCs w:val="20"/>
        </w:rPr>
      </w:pPr>
      <w:r>
        <w:rPr>
          <w:szCs w:val="20"/>
        </w:rPr>
        <w:lastRenderedPageBreak/>
        <w:t>I</w:t>
      </w:r>
      <w:r w:rsidRPr="00CD0BB5">
        <w:rPr>
          <w:szCs w:val="20"/>
        </w:rPr>
        <w:t>s a member of a club which is a party to the application or matter being considered (the size of the club membe</w:t>
      </w:r>
      <w:r>
        <w:rPr>
          <w:szCs w:val="20"/>
        </w:rPr>
        <w:t>rship may be a relevant factor)</w:t>
      </w:r>
      <w:r w:rsidR="00A62297">
        <w:rPr>
          <w:szCs w:val="20"/>
        </w:rPr>
        <w:t>.</w:t>
      </w:r>
    </w:p>
    <w:p w14:paraId="4FA293AC" w14:textId="57F75984"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olds shares in a publicly listed company which is a party to a matter being considered but has limited ability to influence the company, e.g. has received a general share allocation in a public company or the value of those shares will be unaffected by the decision</w:t>
      </w:r>
      <w:r w:rsidR="00A62297">
        <w:rPr>
          <w:sz w:val="20"/>
          <w:szCs w:val="20"/>
        </w:rPr>
        <w:t>.</w:t>
      </w:r>
    </w:p>
    <w:p w14:paraId="2B081689" w14:textId="4732118B" w:rsidR="00191570" w:rsidRPr="00CD0BB5" w:rsidRDefault="00191570" w:rsidP="00191570">
      <w:pPr>
        <w:pStyle w:val="TableText-List"/>
        <w:numPr>
          <w:ilvl w:val="0"/>
          <w:numId w:val="45"/>
        </w:numPr>
        <w:tabs>
          <w:tab w:val="left" w:pos="1624"/>
        </w:tabs>
        <w:spacing w:before="0" w:after="120"/>
        <w:ind w:left="1151" w:hanging="357"/>
        <w:rPr>
          <w:sz w:val="20"/>
          <w:szCs w:val="20"/>
        </w:rPr>
      </w:pPr>
      <w:r>
        <w:rPr>
          <w:sz w:val="20"/>
          <w:szCs w:val="20"/>
        </w:rPr>
        <w:t>H</w:t>
      </w:r>
      <w:r w:rsidRPr="00CD0BB5">
        <w:rPr>
          <w:sz w:val="20"/>
          <w:szCs w:val="20"/>
        </w:rPr>
        <w:t>as an informal or personal relationship with a party to a matter through an industry association or similar body</w:t>
      </w:r>
      <w:r w:rsidR="00A62297">
        <w:rPr>
          <w:sz w:val="20"/>
          <w:szCs w:val="20"/>
        </w:rPr>
        <w:t>.</w:t>
      </w:r>
    </w:p>
    <w:p w14:paraId="70555292" w14:textId="77777777" w:rsidR="00191570" w:rsidRPr="00CD0BB5" w:rsidRDefault="00191570" w:rsidP="00191570">
      <w:pPr>
        <w:pStyle w:val="BODYYY"/>
        <w:numPr>
          <w:ilvl w:val="0"/>
          <w:numId w:val="45"/>
        </w:numPr>
        <w:tabs>
          <w:tab w:val="left" w:pos="1624"/>
        </w:tabs>
        <w:spacing w:before="0"/>
        <w:ind w:left="1151" w:hanging="357"/>
        <w:rPr>
          <w:szCs w:val="20"/>
        </w:rPr>
      </w:pPr>
      <w:r>
        <w:rPr>
          <w:szCs w:val="20"/>
        </w:rPr>
        <w:t>L</w:t>
      </w:r>
      <w:r w:rsidRPr="00CD0BB5">
        <w:rPr>
          <w:szCs w:val="20"/>
        </w:rPr>
        <w:t>ives or owns property in the same local government area as the venue the subject of an electronic gaming machine (EGM) application.</w:t>
      </w:r>
    </w:p>
    <w:p w14:paraId="144D8BD9" w14:textId="77777777" w:rsidR="00191570" w:rsidRDefault="00191570" w:rsidP="00191570">
      <w:pPr>
        <w:pStyle w:val="Heading1"/>
      </w:pPr>
      <w:bookmarkStart w:id="27" w:name="_Toc71899080"/>
      <w:bookmarkStart w:id="28" w:name="_Toc150497272"/>
      <w:r>
        <w:t>Disclosure of interests</w:t>
      </w:r>
      <w:bookmarkEnd w:id="27"/>
      <w:bookmarkEnd w:id="28"/>
    </w:p>
    <w:p w14:paraId="7DFAD161" w14:textId="77777777" w:rsidR="00191570" w:rsidRDefault="00191570" w:rsidP="00191570">
      <w:pPr>
        <w:pStyle w:val="Heading2"/>
      </w:pPr>
      <w:bookmarkStart w:id="29" w:name="_Toc71899081"/>
      <w:bookmarkStart w:id="30" w:name="_Toc150497273"/>
      <w:r>
        <w:t>Annual declaration of private interests</w:t>
      </w:r>
      <w:bookmarkEnd w:id="29"/>
      <w:bookmarkEnd w:id="30"/>
    </w:p>
    <w:p w14:paraId="1A3F765E" w14:textId="77777777" w:rsidR="00191570" w:rsidRDefault="00191570" w:rsidP="00191570">
      <w:pPr>
        <w:pStyle w:val="BODYYY"/>
        <w:spacing w:before="0"/>
        <w:ind w:left="794"/>
      </w:pPr>
      <w:r>
        <w:t>Commissioners must lodge an up-to-date Declaration of Private Interests form</w:t>
      </w:r>
      <w:r>
        <w:rPr>
          <w:rStyle w:val="FootnoteReference"/>
        </w:rPr>
        <w:footnoteReference w:id="3"/>
      </w:r>
      <w:r>
        <w:t xml:space="preserve"> with the Chair before, or as soon as practicable after, their commencement as a Commissioner.</w:t>
      </w:r>
    </w:p>
    <w:p w14:paraId="0FACBF01" w14:textId="64A9D698" w:rsidR="00191570" w:rsidRDefault="00191570" w:rsidP="00191570">
      <w:pPr>
        <w:pStyle w:val="BODYYY"/>
        <w:spacing w:before="0"/>
        <w:ind w:left="794"/>
      </w:pPr>
      <w:r>
        <w:t xml:space="preserve">All interests will be recorded on the VGCCC’s Register of Interests which will be maintained by </w:t>
      </w:r>
      <w:r w:rsidR="00A62297">
        <w:t xml:space="preserve">Secretariat on behalf of </w:t>
      </w:r>
      <w:r w:rsidRPr="00B9458C">
        <w:t>the</w:t>
      </w:r>
      <w:r>
        <w:t xml:space="preserve"> Chair.</w:t>
      </w:r>
    </w:p>
    <w:p w14:paraId="71284E72" w14:textId="77777777" w:rsidR="00191570" w:rsidRDefault="00191570" w:rsidP="00191570">
      <w:pPr>
        <w:pStyle w:val="BODYYY"/>
        <w:spacing w:before="0"/>
        <w:ind w:left="794"/>
        <w:rPr>
          <w:i/>
        </w:rPr>
      </w:pPr>
      <w:r>
        <w:t>The Declaration of Interests forms and the Register of Interests will be accessible by the Executive Coordinator, Legal Services, the Manager, Commission Secretariat and Registry, General Counsel and the Chair.</w:t>
      </w:r>
    </w:p>
    <w:p w14:paraId="32565763" w14:textId="0ADE1079" w:rsidR="00191570" w:rsidRDefault="00191570" w:rsidP="00191570">
      <w:pPr>
        <w:pStyle w:val="BODYYY"/>
        <w:spacing w:before="0"/>
        <w:ind w:left="794"/>
      </w:pPr>
      <w:r>
        <w:t>The information provided by Commissioners will be handled in accordance with principles for information privacy and security as set out in relevant Victorian and Commonwealth legislation. All information will be used only to ensure that Commissioners act in the best interests of the VGCCC, and not for any other purpose.</w:t>
      </w:r>
    </w:p>
    <w:p w14:paraId="35634110" w14:textId="77777777" w:rsidR="00191570" w:rsidRDefault="00191570" w:rsidP="00191570">
      <w:pPr>
        <w:pStyle w:val="BODYYY"/>
        <w:spacing w:before="0" w:after="0"/>
        <w:ind w:left="794"/>
      </w:pPr>
      <w:r>
        <w:t>All Commissioners must review their Declaration of Interests form annually. Commissioners must also update their declaration if their circumstances or interests change in the meantime (unless the change is already adequately recorded in the register as a result of a declaration made at a Commission meeting).</w:t>
      </w:r>
    </w:p>
    <w:p w14:paraId="3BC3E352" w14:textId="77777777" w:rsidR="00191570" w:rsidRDefault="00191570" w:rsidP="00191570">
      <w:pPr>
        <w:pStyle w:val="Heading2"/>
      </w:pPr>
      <w:bookmarkStart w:id="31" w:name="_Toc71899082"/>
      <w:bookmarkStart w:id="32" w:name="_Toc150497274"/>
      <w:r>
        <w:t>The Register of Interests</w:t>
      </w:r>
      <w:bookmarkEnd w:id="31"/>
      <w:bookmarkEnd w:id="32"/>
    </w:p>
    <w:p w14:paraId="64F498D4" w14:textId="77777777" w:rsidR="00191570" w:rsidRDefault="00191570" w:rsidP="00191570">
      <w:pPr>
        <w:pStyle w:val="BODYYY"/>
        <w:spacing w:before="0"/>
      </w:pPr>
      <w:r>
        <w:t xml:space="preserve">An up-to-date </w:t>
      </w:r>
      <w:r w:rsidRPr="00AE5F43">
        <w:t>Register of Interests</w:t>
      </w:r>
      <w:r>
        <w:t xml:space="preserve"> will be maintained which includes details of the private interests of each Commissioner that may give rise to a conflict of interest.</w:t>
      </w:r>
    </w:p>
    <w:p w14:paraId="1697E744" w14:textId="77777777" w:rsidR="00191570" w:rsidRDefault="00191570" w:rsidP="00191570">
      <w:pPr>
        <w:pStyle w:val="Heading3"/>
      </w:pPr>
      <w:bookmarkStart w:id="33" w:name="_Toc71899083"/>
      <w:bookmarkStart w:id="34" w:name="_Toc150497275"/>
      <w:r>
        <w:t>Confirmation at start of Commission meetings that the register is complete and correct</w:t>
      </w:r>
      <w:bookmarkEnd w:id="33"/>
      <w:bookmarkEnd w:id="34"/>
    </w:p>
    <w:p w14:paraId="5C8FE4E8" w14:textId="77777777" w:rsidR="00191570" w:rsidRDefault="00191570" w:rsidP="00191570">
      <w:pPr>
        <w:spacing w:line="276" w:lineRule="auto"/>
        <w:ind w:left="794"/>
      </w:pPr>
      <w:r>
        <w:t>The C</w:t>
      </w:r>
      <w:r w:rsidRPr="00277BA8">
        <w:t xml:space="preserve">hair will ensure that the </w:t>
      </w:r>
      <w:r w:rsidRPr="005D17F8">
        <w:t>Register of Interests</w:t>
      </w:r>
      <w:r w:rsidRPr="00277BA8">
        <w:t xml:space="preserve"> is present for reference at each </w:t>
      </w:r>
      <w:r>
        <w:t>Commission</w:t>
      </w:r>
      <w:r w:rsidRPr="00277BA8">
        <w:t xml:space="preserve"> meeting. At</w:t>
      </w:r>
      <w:r>
        <w:t xml:space="preserve"> the start of the meeting, the Chair will ask for all Commissioners </w:t>
      </w:r>
      <w:r w:rsidRPr="00277BA8">
        <w:t xml:space="preserve">to state whether their interests as recorded in the register are complete and correct.  If there are no changes, the minutes will note that ‘all </w:t>
      </w:r>
      <w:r>
        <w:t>Commissioners</w:t>
      </w:r>
      <w:r w:rsidRPr="00277BA8">
        <w:t xml:space="preserve"> present affirmed that their entry in the Register of Interests remains complete and correct’.  If any changes are declared, these will be recorded in the minutes for entry into the register.</w:t>
      </w:r>
    </w:p>
    <w:p w14:paraId="174D83E2" w14:textId="77777777" w:rsidR="00191570" w:rsidRDefault="00191570" w:rsidP="00191570">
      <w:pPr>
        <w:pStyle w:val="Heading3"/>
      </w:pPr>
      <w:bookmarkStart w:id="35" w:name="_Toc71899084"/>
      <w:bookmarkStart w:id="36" w:name="_Toc150497276"/>
      <w:r>
        <w:t>Updating the register</w:t>
      </w:r>
      <w:bookmarkEnd w:id="35"/>
      <w:bookmarkEnd w:id="36"/>
    </w:p>
    <w:p w14:paraId="13C92249" w14:textId="77777777" w:rsidR="00191570" w:rsidRPr="00277BA8" w:rsidRDefault="00191570" w:rsidP="00191570">
      <w:pPr>
        <w:spacing w:line="276" w:lineRule="auto"/>
        <w:ind w:left="794"/>
      </w:pPr>
      <w:r>
        <w:t>The C</w:t>
      </w:r>
      <w:r w:rsidRPr="00277BA8">
        <w:t xml:space="preserve">hair will ensure that the </w:t>
      </w:r>
      <w:r w:rsidRPr="005D17F8">
        <w:t>Register of Interests</w:t>
      </w:r>
      <w:r w:rsidRPr="00277BA8">
        <w:t xml:space="preserve"> is current and includes:</w:t>
      </w:r>
    </w:p>
    <w:p w14:paraId="2635124E" w14:textId="1F7D9151" w:rsidR="00191570" w:rsidRPr="00BB74DD" w:rsidRDefault="00191570" w:rsidP="00191570">
      <w:pPr>
        <w:pStyle w:val="ListParagraph"/>
        <w:numPr>
          <w:ilvl w:val="0"/>
          <w:numId w:val="46"/>
        </w:numPr>
        <w:ind w:left="1134" w:hanging="357"/>
        <w:contextualSpacing w:val="0"/>
      </w:pPr>
      <w:r>
        <w:t>A</w:t>
      </w:r>
      <w:r w:rsidRPr="00BB74DD">
        <w:t>ll interests declared in all Declaration of Private Interests forms lodged by Commissioners</w:t>
      </w:r>
      <w:r w:rsidR="00A62297">
        <w:t>.</w:t>
      </w:r>
    </w:p>
    <w:p w14:paraId="5D0BEE43" w14:textId="64A57D32" w:rsidR="00191570" w:rsidRPr="00BB74DD" w:rsidRDefault="00191570" w:rsidP="00191570">
      <w:pPr>
        <w:pStyle w:val="ListParagraph"/>
        <w:numPr>
          <w:ilvl w:val="0"/>
          <w:numId w:val="46"/>
        </w:numPr>
        <w:ind w:left="1134" w:hanging="357"/>
        <w:contextualSpacing w:val="0"/>
      </w:pPr>
      <w:r>
        <w:lastRenderedPageBreak/>
        <w:t>A</w:t>
      </w:r>
      <w:r w:rsidRPr="00BB74DD">
        <w:t>ny additional interests which have been declared and recorded in the minutes of a Commission meeting</w:t>
      </w:r>
      <w:r w:rsidR="00A62297">
        <w:t>.</w:t>
      </w:r>
    </w:p>
    <w:p w14:paraId="2DC05576" w14:textId="77777777" w:rsidR="00191570" w:rsidRPr="00BB74DD" w:rsidRDefault="00191570" w:rsidP="00191570">
      <w:pPr>
        <w:pStyle w:val="ListParagraph"/>
        <w:numPr>
          <w:ilvl w:val="0"/>
          <w:numId w:val="46"/>
        </w:numPr>
        <w:ind w:left="1134" w:hanging="357"/>
        <w:contextualSpacing w:val="0"/>
      </w:pPr>
      <w:r>
        <w:t>A</w:t>
      </w:r>
      <w:r w:rsidRPr="00BB74DD">
        <w:t>ny additional interests which have been declared on an ongoing basis.</w:t>
      </w:r>
    </w:p>
    <w:p w14:paraId="469B5088" w14:textId="77777777" w:rsidR="00191570" w:rsidRDefault="00191570" w:rsidP="00191570">
      <w:pPr>
        <w:pStyle w:val="Heading2"/>
      </w:pPr>
      <w:bookmarkStart w:id="37" w:name="_Toc71899085"/>
      <w:bookmarkStart w:id="38" w:name="_Toc150497277"/>
      <w:r>
        <w:t>How should an interest be disclosed?</w:t>
      </w:r>
      <w:bookmarkEnd w:id="37"/>
      <w:bookmarkEnd w:id="38"/>
    </w:p>
    <w:p w14:paraId="4F6D41E1" w14:textId="77777777" w:rsidR="00191570" w:rsidRDefault="00191570" w:rsidP="00191570">
      <w:pPr>
        <w:pStyle w:val="Heading3"/>
      </w:pPr>
      <w:bookmarkStart w:id="39" w:name="_Toc71899086"/>
      <w:bookmarkStart w:id="40" w:name="_Toc150497278"/>
      <w:r>
        <w:t>Declaring conflicts at a meeting</w:t>
      </w:r>
      <w:bookmarkEnd w:id="39"/>
      <w:bookmarkEnd w:id="40"/>
    </w:p>
    <w:p w14:paraId="3BD84EAB" w14:textId="6F2140AF" w:rsidR="00E953C4" w:rsidRDefault="00191570" w:rsidP="00191570">
      <w:pPr>
        <w:pStyle w:val="BodyText"/>
        <w:ind w:left="794"/>
      </w:pPr>
      <w:r w:rsidRPr="0067520A">
        <w:t>In addition to checking whether the Register of Interests is current and correct, the Chair</w:t>
      </w:r>
      <w:r w:rsidRPr="00FB4B13">
        <w:t xml:space="preserve"> will ask if any </w:t>
      </w:r>
      <w:r w:rsidRPr="00DA5E4B">
        <w:t>Commissioner has an interest (i.e. private interest or duty to another organ</w:t>
      </w:r>
      <w:r w:rsidRPr="00E27DE1">
        <w:t xml:space="preserve">isation) with respect to any matter on the agenda at the start of each </w:t>
      </w:r>
      <w:r w:rsidRPr="005D17F8">
        <w:t>Commission meeting.</w:t>
      </w:r>
      <w:bookmarkStart w:id="41" w:name="_Toc451432099"/>
      <w:bookmarkStart w:id="42" w:name="_Toc451432600"/>
      <w:bookmarkEnd w:id="41"/>
      <w:bookmarkEnd w:id="42"/>
    </w:p>
    <w:p w14:paraId="2D8531BA" w14:textId="59547ADA" w:rsidR="00191570" w:rsidRPr="0067520A" w:rsidRDefault="00191570" w:rsidP="00191570">
      <w:pPr>
        <w:pStyle w:val="BodyText"/>
        <w:ind w:left="794"/>
      </w:pPr>
      <w:r w:rsidRPr="005D17F8">
        <w:t xml:space="preserve">If a Commissioner has an interest with respect to any matter on the agenda, they will declare both the nature of the interest and the conflict that results (or may result) from that interest. </w:t>
      </w:r>
      <w:r w:rsidR="00E953C4">
        <w:t xml:space="preserve">A record of the disclosure must be made in the minutes of the Commission meeting. </w:t>
      </w:r>
      <w:r w:rsidRPr="005D17F8">
        <w:t>This is required even where the interest has</w:t>
      </w:r>
      <w:r>
        <w:t xml:space="preserve"> </w:t>
      </w:r>
      <w:r w:rsidRPr="005D17F8">
        <w:t>already been declared by the Commissioner and is recorde</w:t>
      </w:r>
      <w:r>
        <w:t>d in the Register of Interests.</w:t>
      </w:r>
    </w:p>
    <w:p w14:paraId="69D17001" w14:textId="77777777" w:rsidR="00191570" w:rsidRDefault="00191570" w:rsidP="00191570">
      <w:pPr>
        <w:pStyle w:val="Heading3"/>
      </w:pPr>
      <w:bookmarkStart w:id="43" w:name="_Toc71899087"/>
      <w:bookmarkStart w:id="44" w:name="_Toc150497279"/>
      <w:r>
        <w:t>Chair</w:t>
      </w:r>
      <w:bookmarkEnd w:id="43"/>
      <w:bookmarkEnd w:id="44"/>
    </w:p>
    <w:p w14:paraId="22C2C27D" w14:textId="77777777" w:rsidR="00191570" w:rsidRDefault="00191570" w:rsidP="00191570">
      <w:pPr>
        <w:pStyle w:val="BODYYY"/>
        <w:spacing w:before="0"/>
        <w:ind w:left="794"/>
      </w:pPr>
      <w:r w:rsidRPr="00F82FAB">
        <w:t>When disclosing private interests or conflicts of interests</w:t>
      </w:r>
      <w:r>
        <w:t>,</w:t>
      </w:r>
      <w:r w:rsidRPr="00F82FAB">
        <w:t xml:space="preserve"> the Chair</w:t>
      </w:r>
      <w:r>
        <w:t xml:space="preserve"> </w:t>
      </w:r>
      <w:r w:rsidRPr="00F82FAB">
        <w:t>must provide sufficient detail to the Minister to enable a</w:t>
      </w:r>
      <w:r>
        <w:t>n</w:t>
      </w:r>
      <w:r w:rsidRPr="00F82FAB">
        <w:t xml:space="preserve"> adequately</w:t>
      </w:r>
      <w:r>
        <w:t xml:space="preserve"> </w:t>
      </w:r>
      <w:r w:rsidRPr="00F82FAB">
        <w:t xml:space="preserve">informed </w:t>
      </w:r>
      <w:r w:rsidRPr="0067520A">
        <w:t>decision</w:t>
      </w:r>
      <w:r w:rsidRPr="00F82FAB">
        <w:t xml:space="preserve"> about </w:t>
      </w:r>
      <w:r>
        <w:t xml:space="preserve">the </w:t>
      </w:r>
      <w:r w:rsidRPr="00F82FAB">
        <w:t xml:space="preserve">identification of any conflict of interest.  </w:t>
      </w:r>
    </w:p>
    <w:p w14:paraId="24ABED02" w14:textId="77777777" w:rsidR="00191570" w:rsidRPr="00F82FAB" w:rsidRDefault="00191570" w:rsidP="00191570">
      <w:pPr>
        <w:pStyle w:val="BODYYY"/>
        <w:spacing w:before="0"/>
        <w:ind w:left="794"/>
      </w:pPr>
      <w:r>
        <w:t>I</w:t>
      </w:r>
      <w:r w:rsidRPr="00F82FAB">
        <w:t xml:space="preserve">n most cases, </w:t>
      </w:r>
      <w:r>
        <w:t xml:space="preserve">the </w:t>
      </w:r>
      <w:r w:rsidRPr="00F82FAB">
        <w:t>Chair</w:t>
      </w:r>
      <w:r>
        <w:t xml:space="preserve"> </w:t>
      </w:r>
      <w:r w:rsidRPr="00F82FAB">
        <w:t>should inform the Minister in writing about the</w:t>
      </w:r>
      <w:r>
        <w:t xml:space="preserve"> disclosure of</w:t>
      </w:r>
      <w:r w:rsidRPr="00F82FAB">
        <w:t xml:space="preserve"> interest.</w:t>
      </w:r>
    </w:p>
    <w:p w14:paraId="72B03705" w14:textId="77777777" w:rsidR="00191570" w:rsidRDefault="00191570" w:rsidP="00191570">
      <w:pPr>
        <w:pStyle w:val="Heading3"/>
      </w:pPr>
      <w:bookmarkStart w:id="45" w:name="_Toc71899088"/>
      <w:bookmarkStart w:id="46" w:name="_Toc150497280"/>
      <w:r>
        <w:t>Declaring conflicts of interests on an ongoing basis</w:t>
      </w:r>
      <w:bookmarkEnd w:id="45"/>
      <w:bookmarkEnd w:id="46"/>
    </w:p>
    <w:p w14:paraId="6D3BBE17" w14:textId="7594A869" w:rsidR="00191570" w:rsidRPr="00CC3D3F" w:rsidRDefault="00191570" w:rsidP="00191570">
      <w:pPr>
        <w:pStyle w:val="BODYYY"/>
        <w:spacing w:before="0"/>
        <w:ind w:left="794"/>
      </w:pPr>
      <w:r w:rsidRPr="00CC3D3F">
        <w:t xml:space="preserve">It is </w:t>
      </w:r>
      <w:r>
        <w:t xml:space="preserve">the VGCCC’s </w:t>
      </w:r>
      <w:r w:rsidRPr="00CC3D3F">
        <w:t xml:space="preserve">policy that preventing conflicts of interests is the responsibility of every </w:t>
      </w:r>
      <w:r>
        <w:t>Commissioner</w:t>
      </w:r>
      <w:r w:rsidRPr="00CC3D3F">
        <w:t xml:space="preserve">. Therefore, </w:t>
      </w:r>
      <w:r>
        <w:t xml:space="preserve">Commissioners </w:t>
      </w:r>
      <w:r w:rsidRPr="00CC3D3F">
        <w:t>should:</w:t>
      </w:r>
    </w:p>
    <w:p w14:paraId="27F85B30" w14:textId="7F57F657" w:rsidR="00191570" w:rsidRPr="00CC3D3F" w:rsidRDefault="00191570" w:rsidP="00191570">
      <w:pPr>
        <w:pStyle w:val="BODYYY"/>
        <w:numPr>
          <w:ilvl w:val="0"/>
          <w:numId w:val="47"/>
        </w:numPr>
        <w:spacing w:before="0"/>
      </w:pPr>
      <w:r>
        <w:t>T</w:t>
      </w:r>
      <w:r w:rsidRPr="00CC3D3F">
        <w:t>ake responsibility for being aware whether or not they are conflicted in a particular matter (erring always on the side of caution)</w:t>
      </w:r>
      <w:r w:rsidR="0006584B">
        <w:t>.</w:t>
      </w:r>
    </w:p>
    <w:p w14:paraId="7DCF0A63" w14:textId="77777777" w:rsidR="00191570" w:rsidRPr="00CC3D3F" w:rsidRDefault="00191570" w:rsidP="00191570">
      <w:pPr>
        <w:pStyle w:val="BODYYY"/>
        <w:numPr>
          <w:ilvl w:val="0"/>
          <w:numId w:val="47"/>
        </w:numPr>
        <w:spacing w:before="0"/>
      </w:pPr>
      <w:r>
        <w:t>D</w:t>
      </w:r>
      <w:r w:rsidRPr="00CC3D3F">
        <w:t xml:space="preserve">eclare their interest </w:t>
      </w:r>
      <w:r>
        <w:t xml:space="preserve">to the Chair </w:t>
      </w:r>
      <w:r w:rsidRPr="00CC3D3F">
        <w:t>at the earliest opportunity.</w:t>
      </w:r>
    </w:p>
    <w:p w14:paraId="0ACE82E3" w14:textId="77777777" w:rsidR="00191570" w:rsidRPr="00CC3D3F" w:rsidRDefault="00191570" w:rsidP="00191570">
      <w:pPr>
        <w:pStyle w:val="BODYYY"/>
        <w:spacing w:before="0"/>
        <w:ind w:left="720"/>
      </w:pPr>
      <w:r w:rsidRPr="00CC3D3F">
        <w:t>Should an issue arise in the course of a meeting</w:t>
      </w:r>
      <w:r>
        <w:t xml:space="preserve">, an inquiry or considering a matter allocated to them in which a Commissioner feels </w:t>
      </w:r>
      <w:r w:rsidRPr="00CC3D3F">
        <w:t xml:space="preserve">they may be conflicted, </w:t>
      </w:r>
      <w:r>
        <w:t>t</w:t>
      </w:r>
      <w:r w:rsidRPr="00CC3D3F">
        <w:t>he</w:t>
      </w:r>
      <w:r>
        <w:t>y</w:t>
      </w:r>
      <w:r w:rsidRPr="00CC3D3F">
        <w:t xml:space="preserve"> should declare this</w:t>
      </w:r>
      <w:r>
        <w:t xml:space="preserve"> to the Chair</w:t>
      </w:r>
      <w:r w:rsidRPr="00CC3D3F">
        <w:t xml:space="preserve"> immediately.</w:t>
      </w:r>
    </w:p>
    <w:p w14:paraId="2F7FE8F3" w14:textId="77777777" w:rsidR="00191570" w:rsidRDefault="00191570" w:rsidP="00191570">
      <w:pPr>
        <w:pStyle w:val="BODYYY"/>
        <w:spacing w:before="0"/>
        <w:ind w:left="720"/>
      </w:pPr>
      <w:r w:rsidRPr="00CC3D3F">
        <w:t xml:space="preserve">Should a </w:t>
      </w:r>
      <w:r>
        <w:t xml:space="preserve">Commissioner become aware that another Commissioner </w:t>
      </w:r>
      <w:r w:rsidRPr="00CC3D3F">
        <w:t>fail</w:t>
      </w:r>
      <w:r>
        <w:t>ed</w:t>
      </w:r>
      <w:r w:rsidRPr="00CC3D3F">
        <w:t xml:space="preserve"> to declare an interest which is known to the</w:t>
      </w:r>
      <w:r>
        <w:t>m</w:t>
      </w:r>
      <w:r>
        <w:rPr>
          <w:i/>
        </w:rPr>
        <w:t xml:space="preserve"> </w:t>
      </w:r>
      <w:r w:rsidRPr="00CC3D3F">
        <w:t xml:space="preserve">or any other </w:t>
      </w:r>
      <w:r>
        <w:t>Commissioner,</w:t>
      </w:r>
      <w:r w:rsidRPr="00CC3D3F">
        <w:t xml:space="preserve"> th</w:t>
      </w:r>
      <w:r>
        <w:t xml:space="preserve">e Commissioner must </w:t>
      </w:r>
      <w:r w:rsidRPr="00CC3D3F">
        <w:t xml:space="preserve">make that interest known to the </w:t>
      </w:r>
      <w:r>
        <w:t>Chair</w:t>
      </w:r>
      <w:r w:rsidRPr="00CC3D3F">
        <w:t xml:space="preserve"> immediately</w:t>
      </w:r>
      <w:r>
        <w:t xml:space="preserve"> or in the case of the Chair, the Commissioner shall contact the Minister.</w:t>
      </w:r>
    </w:p>
    <w:p w14:paraId="59188BBE" w14:textId="77777777" w:rsidR="00191570" w:rsidRDefault="00191570" w:rsidP="00191570">
      <w:pPr>
        <w:pStyle w:val="Heading3"/>
      </w:pPr>
      <w:bookmarkStart w:id="47" w:name="_Toc71899089"/>
      <w:bookmarkStart w:id="48" w:name="_Toc150497281"/>
      <w:r>
        <w:t>Checks prior to matter allocation</w:t>
      </w:r>
      <w:bookmarkEnd w:id="47"/>
      <w:bookmarkEnd w:id="48"/>
    </w:p>
    <w:p w14:paraId="1DB5CD38" w14:textId="239F6BBB" w:rsidR="00191570" w:rsidRDefault="00191570" w:rsidP="00191570">
      <w:pPr>
        <w:pStyle w:val="BODYYY"/>
        <w:spacing w:before="0" w:after="0"/>
        <w:ind w:left="794"/>
      </w:pPr>
      <w:r>
        <w:t>Before Commissioners are allocated tribunal matters for consideration, the VGCCC’s registry staff will carry out a preliminary conflict check according to the Register of Interests. If it becomes evident that a conflict of interest may exist, that Commissioner will not be given any materials relating to the matter. Commissioners are reminded that this is not a substitute for their own duty to ensure they are free of conflicts.</w:t>
      </w:r>
    </w:p>
    <w:p w14:paraId="628EA4F9" w14:textId="77777777" w:rsidR="00191570" w:rsidRDefault="00191570" w:rsidP="00191570">
      <w:pPr>
        <w:pStyle w:val="Heading2"/>
      </w:pPr>
      <w:bookmarkStart w:id="49" w:name="_Toc71899090"/>
      <w:bookmarkStart w:id="50" w:name="_Toc150497282"/>
      <w:r>
        <w:t>Options for managing a conflict of interests</w:t>
      </w:r>
      <w:bookmarkEnd w:id="49"/>
      <w:bookmarkEnd w:id="50"/>
    </w:p>
    <w:p w14:paraId="155BD72D" w14:textId="77777777" w:rsidR="00191570" w:rsidRPr="00B738CE" w:rsidRDefault="00191570" w:rsidP="00191570">
      <w:pPr>
        <w:spacing w:line="276" w:lineRule="auto"/>
        <w:ind w:left="794"/>
      </w:pPr>
      <w:r w:rsidRPr="00B738CE">
        <w:t xml:space="preserve">The </w:t>
      </w:r>
      <w:r>
        <w:t xml:space="preserve">Commission </w:t>
      </w:r>
      <w:r w:rsidRPr="00B738CE">
        <w:t>will manage all conflicts of interest in the public interest.  Options for managing a conflict of interest include:</w:t>
      </w:r>
    </w:p>
    <w:p w14:paraId="7F5A9057"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Remove </w:t>
      </w:r>
      <w:r w:rsidRPr="00B738CE">
        <w:t xml:space="preserve">– the </w:t>
      </w:r>
      <w:r>
        <w:t>Commissioner</w:t>
      </w:r>
      <w:r w:rsidRPr="00B738CE">
        <w:t xml:space="preserve"> leaves the room and does not participate </w:t>
      </w:r>
      <w:r>
        <w:t>in the ‘conflicted’ matter in any way.</w:t>
      </w:r>
    </w:p>
    <w:p w14:paraId="5060663F"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Reassign </w:t>
      </w:r>
      <w:r w:rsidRPr="00AE5F43">
        <w:t>-</w:t>
      </w:r>
      <w:r>
        <w:t xml:space="preserve"> in the case of an inquiry or matter allocated to a Commissioner, the Chair will reassign the matter to another Commissioner for consideration.  </w:t>
      </w:r>
    </w:p>
    <w:p w14:paraId="1D3F567B"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lastRenderedPageBreak/>
        <w:t xml:space="preserve">Record </w:t>
      </w:r>
      <w:r w:rsidRPr="00B738CE">
        <w:t xml:space="preserve">– details of the conflict of interest are recorded in the minutes.  Monitoring occurs to check whether this remains the appropriate option. </w:t>
      </w:r>
    </w:p>
    <w:p w14:paraId="21E56D20"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Refer </w:t>
      </w:r>
      <w:r>
        <w:t xml:space="preserve">– in the case of a tribunal matter, details of the conflict of interest are disclosed to the parties and based on the received submissions, continue to consider the matter or remove themselves. </w:t>
      </w:r>
    </w:p>
    <w:p w14:paraId="79982031" w14:textId="77777777" w:rsidR="00191570" w:rsidRPr="00B738CE"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Restrict </w:t>
      </w:r>
      <w:r w:rsidRPr="00B738CE">
        <w:t xml:space="preserve">– the </w:t>
      </w:r>
      <w:r>
        <w:t>Commissioner</w:t>
      </w:r>
      <w:r w:rsidRPr="00B738CE">
        <w:t>’s involvement in discussion and/or decision-making on the matter is restricted to the extent that matches the public interest.  Monitoring occurs to check whether this remains the appropriate option.</w:t>
      </w:r>
    </w:p>
    <w:p w14:paraId="5C17E126"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Recruit </w:t>
      </w:r>
      <w:r w:rsidRPr="00B738CE">
        <w:t>– an impartial third party is engaged to provide advice (</w:t>
      </w:r>
      <w:r>
        <w:t>e.g. a probity adviser, lawyer</w:t>
      </w:r>
      <w:r w:rsidRPr="00B738CE">
        <w:t>).</w:t>
      </w:r>
    </w:p>
    <w:p w14:paraId="1B2557A2" w14:textId="77777777" w:rsidR="00191570" w:rsidRDefault="00191570" w:rsidP="00191570">
      <w:pPr>
        <w:pStyle w:val="ListParagraph"/>
        <w:numPr>
          <w:ilvl w:val="0"/>
          <w:numId w:val="48"/>
        </w:numPr>
        <w:tabs>
          <w:tab w:val="left" w:pos="284"/>
        </w:tabs>
        <w:spacing w:line="276" w:lineRule="auto"/>
        <w:ind w:left="1151" w:hanging="357"/>
        <w:contextualSpacing w:val="0"/>
      </w:pPr>
      <w:r w:rsidRPr="00E86162">
        <w:rPr>
          <w:b/>
          <w:bCs/>
        </w:rPr>
        <w:t xml:space="preserve">Relinquish or resign </w:t>
      </w:r>
      <w:r w:rsidRPr="00240DD6">
        <w:t>– the Commissioner relinquishes their private interest or steps down from their role with the other organisation on a temporary or permanent basis.  Alternatively, the Commissioner resigns from the Commission itself</w:t>
      </w:r>
      <w:r>
        <w:t>.</w:t>
      </w:r>
    </w:p>
    <w:p w14:paraId="029F99C1" w14:textId="77777777" w:rsidR="00191570" w:rsidRDefault="00191570" w:rsidP="00191570">
      <w:pPr>
        <w:spacing w:line="276" w:lineRule="auto"/>
        <w:ind w:left="720"/>
      </w:pPr>
      <w:r w:rsidRPr="00540B8E">
        <w:t>The process for determining which option is in the pu</w:t>
      </w:r>
      <w:r>
        <w:t>blic interest is set out below.</w:t>
      </w:r>
    </w:p>
    <w:p w14:paraId="3FDA218F" w14:textId="77777777" w:rsidR="00191570" w:rsidRDefault="00191570" w:rsidP="00191570">
      <w:pPr>
        <w:pStyle w:val="Heading2"/>
      </w:pPr>
      <w:bookmarkStart w:id="51" w:name="_Toc71899091"/>
      <w:bookmarkStart w:id="52" w:name="_Toc150497283"/>
      <w:r>
        <w:t>Determining whether a conflict is material</w:t>
      </w:r>
      <w:bookmarkEnd w:id="51"/>
      <w:bookmarkEnd w:id="52"/>
    </w:p>
    <w:p w14:paraId="2E463761" w14:textId="77777777" w:rsidR="00191570" w:rsidRPr="00CC3D3F" w:rsidRDefault="00191570" w:rsidP="00191570">
      <w:pPr>
        <w:pStyle w:val="BODYYY"/>
        <w:spacing w:before="0"/>
        <w:ind w:left="794"/>
      </w:pPr>
      <w:r w:rsidRPr="00CC3D3F">
        <w:t xml:space="preserve">If a conflict of interest is declared by a </w:t>
      </w:r>
      <w:r>
        <w:t>Commissioner</w:t>
      </w:r>
      <w:r w:rsidRPr="00CC3D3F">
        <w:t xml:space="preserve">, the </w:t>
      </w:r>
      <w:r>
        <w:t>Commission w</w:t>
      </w:r>
      <w:r w:rsidRPr="00CC3D3F">
        <w:t>ill use the following factors to determine whether the conflict is material</w:t>
      </w:r>
      <w:r w:rsidRPr="00CC3D3F">
        <w:rPr>
          <w:rStyle w:val="FootnoteReference"/>
          <w:szCs w:val="20"/>
        </w:rPr>
        <w:footnoteReference w:id="4"/>
      </w:r>
      <w:r>
        <w:t xml:space="preserve"> and how to manage the conflict:</w:t>
      </w:r>
    </w:p>
    <w:p w14:paraId="56C75935" w14:textId="079B36E0" w:rsidR="00191570" w:rsidRPr="00CC3D3F" w:rsidRDefault="00191570" w:rsidP="00191570">
      <w:pPr>
        <w:pStyle w:val="BODYYY"/>
        <w:numPr>
          <w:ilvl w:val="0"/>
          <w:numId w:val="49"/>
        </w:numPr>
        <w:spacing w:before="0"/>
        <w:ind w:hanging="351"/>
      </w:pPr>
      <w:r w:rsidRPr="00CC3D3F">
        <w:t xml:space="preserve">The </w:t>
      </w:r>
      <w:r>
        <w:t>objectives</w:t>
      </w:r>
      <w:r w:rsidRPr="00CC3D3F">
        <w:t xml:space="preserve"> and functions of the </w:t>
      </w:r>
      <w:r>
        <w:t>VGCCC.</w:t>
      </w:r>
    </w:p>
    <w:p w14:paraId="38B61F58" w14:textId="77777777" w:rsidR="00191570" w:rsidRPr="00CC3D3F" w:rsidRDefault="00191570" w:rsidP="00191570">
      <w:pPr>
        <w:pStyle w:val="BODYYY"/>
        <w:numPr>
          <w:ilvl w:val="0"/>
          <w:numId w:val="49"/>
        </w:numPr>
        <w:spacing w:before="0"/>
        <w:ind w:hanging="351"/>
      </w:pPr>
      <w:r w:rsidRPr="00CC3D3F">
        <w:t xml:space="preserve">The </w:t>
      </w:r>
      <w:r>
        <w:t>matter</w:t>
      </w:r>
      <w:r w:rsidRPr="00CC3D3F">
        <w:t xml:space="preserve"> that is to be discussed and determined by the </w:t>
      </w:r>
      <w:r>
        <w:t>Commission.</w:t>
      </w:r>
    </w:p>
    <w:p w14:paraId="3DDD4BAF" w14:textId="77777777" w:rsidR="00191570" w:rsidRPr="00CC3D3F" w:rsidRDefault="00191570" w:rsidP="00191570">
      <w:pPr>
        <w:pStyle w:val="BODYYY"/>
        <w:numPr>
          <w:ilvl w:val="0"/>
          <w:numId w:val="49"/>
        </w:numPr>
        <w:spacing w:before="0"/>
        <w:ind w:hanging="351"/>
      </w:pPr>
      <w:r w:rsidRPr="00CC3D3F">
        <w:t>The nature and extent of the conflict, including:</w:t>
      </w:r>
    </w:p>
    <w:p w14:paraId="6DAD54CF" w14:textId="6C926A5A" w:rsidR="00191570" w:rsidRPr="00CC3D3F" w:rsidRDefault="00191570" w:rsidP="00191570">
      <w:pPr>
        <w:pStyle w:val="BODYYY"/>
        <w:numPr>
          <w:ilvl w:val="1"/>
          <w:numId w:val="49"/>
        </w:numPr>
        <w:spacing w:before="0"/>
      </w:pPr>
      <w:r>
        <w:t>W</w:t>
      </w:r>
      <w:r w:rsidRPr="00CC3D3F">
        <w:t xml:space="preserve">hether it is </w:t>
      </w:r>
      <w:r>
        <w:t>actual</w:t>
      </w:r>
      <w:r w:rsidRPr="00CC3D3F">
        <w:t>, potential or perceived</w:t>
      </w:r>
      <w:r w:rsidR="0006584B">
        <w:t>.</w:t>
      </w:r>
    </w:p>
    <w:p w14:paraId="2D9B7A0B" w14:textId="4806FD8C" w:rsidR="00191570" w:rsidRPr="00CC3D3F" w:rsidRDefault="00191570" w:rsidP="00191570">
      <w:pPr>
        <w:pStyle w:val="BODYYY"/>
        <w:numPr>
          <w:ilvl w:val="1"/>
          <w:numId w:val="49"/>
        </w:numPr>
        <w:spacing w:before="0"/>
      </w:pPr>
      <w:r>
        <w:t>T</w:t>
      </w:r>
      <w:r w:rsidRPr="00CC3D3F">
        <w:t>he amount, scope and likelihood of the expected benefit</w:t>
      </w:r>
      <w:r w:rsidR="0006584B">
        <w:t>.</w:t>
      </w:r>
    </w:p>
    <w:p w14:paraId="40A5C0C0" w14:textId="77777777" w:rsidR="00191570" w:rsidRPr="00CC3D3F" w:rsidRDefault="00191570" w:rsidP="00191570">
      <w:pPr>
        <w:pStyle w:val="BODYYY"/>
        <w:numPr>
          <w:ilvl w:val="1"/>
          <w:numId w:val="49"/>
        </w:numPr>
        <w:spacing w:before="0"/>
      </w:pPr>
      <w:r>
        <w:t>T</w:t>
      </w:r>
      <w:r w:rsidRPr="00CC3D3F">
        <w:t xml:space="preserve">he degree to which the interest could compromise, or reasonably be seen to compromise the </w:t>
      </w:r>
      <w:r>
        <w:t>Commissioner</w:t>
      </w:r>
      <w:r w:rsidRPr="00CC3D3F">
        <w:t>’s ability to make an impartial decision.</w:t>
      </w:r>
    </w:p>
    <w:p w14:paraId="31E06DE7" w14:textId="77777777" w:rsidR="00191570" w:rsidRDefault="00191570" w:rsidP="00191570">
      <w:pPr>
        <w:pStyle w:val="BODYYY"/>
        <w:numPr>
          <w:ilvl w:val="0"/>
          <w:numId w:val="49"/>
        </w:numPr>
        <w:spacing w:before="0"/>
        <w:ind w:hanging="351"/>
        <w:rPr>
          <w:szCs w:val="20"/>
        </w:rPr>
      </w:pPr>
      <w:r w:rsidRPr="00CC3D3F">
        <w:rPr>
          <w:szCs w:val="20"/>
        </w:rPr>
        <w:t>The overall likelihood that there will be a public perception of a conflict of interest and the extent to which this may affect public confidence in the</w:t>
      </w:r>
      <w:r>
        <w:rPr>
          <w:szCs w:val="20"/>
        </w:rPr>
        <w:t xml:space="preserve"> integrity of the Commission and its decisions</w:t>
      </w:r>
      <w:r w:rsidRPr="00CC3D3F">
        <w:rPr>
          <w:szCs w:val="20"/>
        </w:rPr>
        <w:t>.</w:t>
      </w:r>
    </w:p>
    <w:p w14:paraId="09E4FCD4" w14:textId="77777777" w:rsidR="00191570" w:rsidRDefault="00191570" w:rsidP="00191570">
      <w:pPr>
        <w:pStyle w:val="Heading1"/>
      </w:pPr>
      <w:bookmarkStart w:id="53" w:name="_Toc71899092"/>
      <w:bookmarkStart w:id="54" w:name="_Toc150497284"/>
      <w:r>
        <w:t>Disclosure of interests</w:t>
      </w:r>
      <w:bookmarkEnd w:id="53"/>
      <w:bookmarkEnd w:id="54"/>
    </w:p>
    <w:p w14:paraId="30C4168D" w14:textId="77777777" w:rsidR="00191570" w:rsidRDefault="00191570" w:rsidP="00191570">
      <w:pPr>
        <w:pStyle w:val="Heading2"/>
      </w:pPr>
      <w:bookmarkStart w:id="55" w:name="_Toc71899093"/>
      <w:bookmarkStart w:id="56" w:name="_Toc150497285"/>
      <w:r>
        <w:t>Managing material conflicts of interest</w:t>
      </w:r>
      <w:bookmarkEnd w:id="55"/>
      <w:bookmarkEnd w:id="56"/>
    </w:p>
    <w:p w14:paraId="6DA1E846" w14:textId="77777777" w:rsidR="00191570" w:rsidRPr="00CB4AD0" w:rsidRDefault="00191570" w:rsidP="00191570">
      <w:pPr>
        <w:spacing w:line="260" w:lineRule="atLeast"/>
        <w:ind w:left="794"/>
      </w:pPr>
      <w:r w:rsidRPr="00CB4AD0">
        <w:t xml:space="preserve">The </w:t>
      </w:r>
      <w:r>
        <w:t>Commission</w:t>
      </w:r>
      <w:r w:rsidRPr="00CB4AD0">
        <w:t xml:space="preserve">’s </w:t>
      </w:r>
      <w:r w:rsidRPr="005D17F8">
        <w:t>standard procedure</w:t>
      </w:r>
      <w:r w:rsidRPr="00CB4AD0">
        <w:t xml:space="preserve"> for managing a material conflict of interest is to </w:t>
      </w:r>
      <w:r w:rsidRPr="005D17F8">
        <w:t>remove</w:t>
      </w:r>
      <w:r w:rsidRPr="00CB4AD0">
        <w:t xml:space="preserve"> the </w:t>
      </w:r>
      <w:r>
        <w:t xml:space="preserve">Commissioner </w:t>
      </w:r>
      <w:r w:rsidRPr="00CB4AD0">
        <w:t>from al</w:t>
      </w:r>
      <w:r>
        <w:t>l participation in the matter. Where the matter is being considered at a Commission meeting, t</w:t>
      </w:r>
      <w:r w:rsidRPr="00CB4AD0">
        <w:t xml:space="preserve">he </w:t>
      </w:r>
      <w:r>
        <w:t xml:space="preserve">Commissioner </w:t>
      </w:r>
      <w:r w:rsidRPr="00CB4AD0">
        <w:t>will:</w:t>
      </w:r>
    </w:p>
    <w:p w14:paraId="7758C973" w14:textId="4F39D1A1" w:rsidR="00191570" w:rsidRPr="007C77F8" w:rsidRDefault="00191570" w:rsidP="00191570">
      <w:pPr>
        <w:pStyle w:val="ListBullet"/>
        <w:numPr>
          <w:ilvl w:val="0"/>
          <w:numId w:val="52"/>
        </w:numPr>
        <w:rPr>
          <w:u w:val="none"/>
        </w:rPr>
      </w:pPr>
      <w:r>
        <w:rPr>
          <w:u w:val="none"/>
        </w:rPr>
        <w:t>L</w:t>
      </w:r>
      <w:r w:rsidRPr="007C77F8">
        <w:rPr>
          <w:u w:val="none"/>
        </w:rPr>
        <w:t>eave the room at the start of the relevant agenda item and not return until the start of the next agenda item</w:t>
      </w:r>
      <w:r w:rsidR="0006584B">
        <w:rPr>
          <w:u w:val="none"/>
        </w:rPr>
        <w:t>.</w:t>
      </w:r>
    </w:p>
    <w:p w14:paraId="24354314" w14:textId="782BEB4C" w:rsidR="00191570" w:rsidRPr="007C77F8" w:rsidRDefault="00191570" w:rsidP="00191570">
      <w:pPr>
        <w:pStyle w:val="ListBullet"/>
        <w:numPr>
          <w:ilvl w:val="0"/>
          <w:numId w:val="52"/>
        </w:numPr>
        <w:rPr>
          <w:u w:val="none"/>
        </w:rPr>
      </w:pPr>
      <w:r>
        <w:rPr>
          <w:u w:val="none"/>
        </w:rPr>
        <w:t>N</w:t>
      </w:r>
      <w:r w:rsidRPr="007C77F8">
        <w:rPr>
          <w:u w:val="none"/>
        </w:rPr>
        <w:t>ot discuss the matter</w:t>
      </w:r>
      <w:r>
        <w:rPr>
          <w:u w:val="none"/>
        </w:rPr>
        <w:t xml:space="preserve"> in any way</w:t>
      </w:r>
      <w:r w:rsidRPr="007C77F8">
        <w:rPr>
          <w:u w:val="none"/>
        </w:rPr>
        <w:t xml:space="preserve"> with any other Commissioner</w:t>
      </w:r>
      <w:r>
        <w:rPr>
          <w:u w:val="none"/>
        </w:rPr>
        <w:t>,</w:t>
      </w:r>
      <w:r w:rsidRPr="007C77F8">
        <w:rPr>
          <w:u w:val="none"/>
        </w:rPr>
        <w:t xml:space="preserve"> eit</w:t>
      </w:r>
      <w:r>
        <w:rPr>
          <w:u w:val="none"/>
        </w:rPr>
        <w:t>her in the meeting or elsewhere</w:t>
      </w:r>
      <w:r w:rsidR="0006584B">
        <w:rPr>
          <w:u w:val="none"/>
        </w:rPr>
        <w:t>.</w:t>
      </w:r>
    </w:p>
    <w:p w14:paraId="2A5B2B50" w14:textId="77777777" w:rsidR="00191570" w:rsidRPr="007C77F8" w:rsidRDefault="00191570" w:rsidP="00191570">
      <w:pPr>
        <w:pStyle w:val="ListBullet"/>
        <w:numPr>
          <w:ilvl w:val="0"/>
          <w:numId w:val="52"/>
        </w:numPr>
      </w:pPr>
      <w:r>
        <w:rPr>
          <w:u w:val="none"/>
        </w:rPr>
        <w:t>N</w:t>
      </w:r>
      <w:r w:rsidRPr="007C77F8">
        <w:rPr>
          <w:u w:val="none"/>
        </w:rPr>
        <w:t>ot participate in any Commission decision on the matter.</w:t>
      </w:r>
    </w:p>
    <w:p w14:paraId="069955C3" w14:textId="77777777" w:rsidR="00191570" w:rsidRDefault="00191570" w:rsidP="00191570">
      <w:pPr>
        <w:spacing w:line="260" w:lineRule="atLeast"/>
        <w:ind w:left="851"/>
      </w:pPr>
      <w:r>
        <w:t xml:space="preserve">Where the matter has been allocated to the Commissioner, they should notify the Chair and have the matter reassigned to another Commissioner for consideration. </w:t>
      </w:r>
    </w:p>
    <w:p w14:paraId="437BC812" w14:textId="77777777" w:rsidR="00191570" w:rsidRDefault="00191570" w:rsidP="00191570">
      <w:pPr>
        <w:spacing w:line="260" w:lineRule="atLeast"/>
        <w:ind w:left="851"/>
      </w:pPr>
      <w:r w:rsidRPr="00CB4AD0">
        <w:lastRenderedPageBreak/>
        <w:t xml:space="preserve">The standard procedure will be followed unless the </w:t>
      </w:r>
      <w:r>
        <w:t xml:space="preserve">Commission </w:t>
      </w:r>
      <w:r w:rsidRPr="00CB4AD0">
        <w:t xml:space="preserve">determines and records in the minutes clear reasons why it </w:t>
      </w:r>
      <w:r>
        <w:t>is not in the public interest.</w:t>
      </w:r>
    </w:p>
    <w:p w14:paraId="7EB73726" w14:textId="77777777" w:rsidR="00191570" w:rsidRPr="00540B8E" w:rsidRDefault="00191570" w:rsidP="00191570">
      <w:pPr>
        <w:pStyle w:val="Heading3"/>
        <w:tabs>
          <w:tab w:val="num" w:pos="1362"/>
        </w:tabs>
        <w:spacing w:before="0"/>
        <w:ind w:left="907" w:hanging="907"/>
      </w:pPr>
      <w:bookmarkStart w:id="57" w:name="_Toc451435293"/>
      <w:bookmarkStart w:id="58" w:name="_Toc42267207"/>
      <w:bookmarkStart w:id="59" w:name="_Toc71899094"/>
      <w:bookmarkStart w:id="60" w:name="_Toc150497286"/>
      <w:r>
        <w:t>More stringent options for managing a material conflict</w:t>
      </w:r>
      <w:bookmarkEnd w:id="57"/>
      <w:bookmarkEnd w:id="58"/>
      <w:bookmarkEnd w:id="59"/>
      <w:bookmarkEnd w:id="60"/>
      <w:r>
        <w:t xml:space="preserve">   </w:t>
      </w:r>
    </w:p>
    <w:p w14:paraId="55CB9A20" w14:textId="77777777" w:rsidR="00191570" w:rsidRPr="00CB4AD0" w:rsidRDefault="00191570" w:rsidP="00191570">
      <w:pPr>
        <w:tabs>
          <w:tab w:val="left" w:pos="907"/>
        </w:tabs>
        <w:spacing w:line="276" w:lineRule="auto"/>
        <w:ind w:left="907"/>
      </w:pPr>
      <w:r w:rsidRPr="00CB4AD0">
        <w:t xml:space="preserve">If the public could reasonably form the view that the conflict is of </w:t>
      </w:r>
      <w:r>
        <w:t xml:space="preserve">an </w:t>
      </w:r>
      <w:r w:rsidRPr="00CB4AD0">
        <w:t>unacceptable frequency and/or duration</w:t>
      </w:r>
      <w:r>
        <w:t>,</w:t>
      </w:r>
      <w:r w:rsidRPr="00CB4AD0">
        <w:t xml:space="preserve"> then to maintain public confidence and protect the reputation of the organisation it may be necessary, in the </w:t>
      </w:r>
      <w:r w:rsidRPr="005D17F8">
        <w:rPr>
          <w:rStyle w:val="Emphasis-Bold"/>
        </w:rPr>
        <w:t>public interest</w:t>
      </w:r>
      <w:r w:rsidRPr="00CB4AD0">
        <w:t xml:space="preserve">, for the </w:t>
      </w:r>
      <w:r>
        <w:t>Commissioner</w:t>
      </w:r>
      <w:r w:rsidRPr="00CB4AD0">
        <w:t xml:space="preserve"> to:</w:t>
      </w:r>
    </w:p>
    <w:p w14:paraId="7EE4980F" w14:textId="44CDDADC" w:rsidR="00191570" w:rsidRPr="00E86162" w:rsidRDefault="00191570" w:rsidP="00191570">
      <w:pPr>
        <w:pStyle w:val="ListParagraph"/>
        <w:numPr>
          <w:ilvl w:val="0"/>
          <w:numId w:val="53"/>
        </w:numPr>
        <w:ind w:left="1276" w:hanging="357"/>
        <w:contextualSpacing w:val="0"/>
      </w:pPr>
      <w:r>
        <w:t>R</w:t>
      </w:r>
      <w:r w:rsidRPr="00E86162">
        <w:t>elinquish their private interest</w:t>
      </w:r>
      <w:r w:rsidR="0006584B">
        <w:t>;</w:t>
      </w:r>
    </w:p>
    <w:p w14:paraId="22AA80DF" w14:textId="77777777" w:rsidR="00191570" w:rsidRPr="00E86162" w:rsidRDefault="00191570" w:rsidP="00191570">
      <w:pPr>
        <w:pStyle w:val="ListParagraph"/>
        <w:numPr>
          <w:ilvl w:val="0"/>
          <w:numId w:val="53"/>
        </w:numPr>
        <w:ind w:left="1276" w:hanging="357"/>
        <w:contextualSpacing w:val="0"/>
      </w:pPr>
      <w:r>
        <w:t>R</w:t>
      </w:r>
      <w:r w:rsidRPr="00E86162">
        <w:t>esign or stand down on a temporary basis from the other organisation to which they have a duty</w:t>
      </w:r>
      <w:r>
        <w:t>, or</w:t>
      </w:r>
    </w:p>
    <w:p w14:paraId="021EA396" w14:textId="77777777" w:rsidR="00191570" w:rsidRPr="00E86162" w:rsidRDefault="00191570" w:rsidP="00191570">
      <w:pPr>
        <w:pStyle w:val="ListParagraph"/>
        <w:numPr>
          <w:ilvl w:val="0"/>
          <w:numId w:val="53"/>
        </w:numPr>
        <w:ind w:left="1276" w:hanging="357"/>
        <w:contextualSpacing w:val="0"/>
      </w:pPr>
      <w:r>
        <w:t>R</w:t>
      </w:r>
      <w:r w:rsidRPr="00E86162">
        <w:t>esign from the Commission.</w:t>
      </w:r>
    </w:p>
    <w:p w14:paraId="6C766A49" w14:textId="77777777" w:rsidR="00191570" w:rsidRPr="00540B8E" w:rsidRDefault="00191570" w:rsidP="00191570">
      <w:pPr>
        <w:pStyle w:val="Heading3"/>
        <w:tabs>
          <w:tab w:val="left" w:pos="993"/>
        </w:tabs>
        <w:spacing w:before="0" w:after="60"/>
        <w:ind w:left="907" w:hanging="907"/>
      </w:pPr>
      <w:bookmarkStart w:id="61" w:name="_Toc451435294"/>
      <w:bookmarkStart w:id="62" w:name="_Toc42267208"/>
      <w:bookmarkStart w:id="63" w:name="_Toc71899095"/>
      <w:bookmarkStart w:id="64" w:name="_Toc150497287"/>
      <w:r>
        <w:t>Less stringent options for managing a material conflict</w:t>
      </w:r>
      <w:bookmarkEnd w:id="61"/>
      <w:bookmarkEnd w:id="62"/>
      <w:bookmarkEnd w:id="63"/>
      <w:bookmarkEnd w:id="64"/>
      <w:r>
        <w:t xml:space="preserve">   </w:t>
      </w:r>
    </w:p>
    <w:p w14:paraId="15D86697" w14:textId="77777777" w:rsidR="00191570" w:rsidRDefault="00191570" w:rsidP="00191570">
      <w:pPr>
        <w:ind w:left="907"/>
      </w:pPr>
      <w:r w:rsidRPr="00CB4AD0">
        <w:t>A</w:t>
      </w:r>
      <w:r>
        <w:t xml:space="preserve"> less stringent </w:t>
      </w:r>
      <w:r w:rsidRPr="00CB4AD0">
        <w:t>option (i.e. record, restrict or re</w:t>
      </w:r>
      <w:r>
        <w:t>fer)</w:t>
      </w:r>
      <w:r w:rsidRPr="00CB4AD0">
        <w:t xml:space="preserve"> will not usually be in the publi</w:t>
      </w:r>
      <w:r>
        <w:t xml:space="preserve">c interest for managing </w:t>
      </w:r>
      <w:r w:rsidRPr="00CB4AD0">
        <w:t xml:space="preserve">material conflicts of interest.  If the </w:t>
      </w:r>
      <w:r>
        <w:t xml:space="preserve">Commission </w:t>
      </w:r>
      <w:r w:rsidRPr="00CB4AD0">
        <w:t>is unsure whether a</w:t>
      </w:r>
      <w:r>
        <w:t xml:space="preserve"> less stringent </w:t>
      </w:r>
      <w:r w:rsidRPr="00CB4AD0">
        <w:t xml:space="preserve">option is in the public interest the </w:t>
      </w:r>
      <w:r>
        <w:t>Commission</w:t>
      </w:r>
      <w:r w:rsidRPr="00CB4AD0">
        <w:t xml:space="preserve"> will err on the side of caution.</w:t>
      </w:r>
    </w:p>
    <w:p w14:paraId="29E460D6" w14:textId="77777777" w:rsidR="00191570" w:rsidRDefault="00191570" w:rsidP="00191570">
      <w:pPr>
        <w:ind w:left="907"/>
      </w:pPr>
      <w:r w:rsidRPr="00CB4AD0">
        <w:t xml:space="preserve">If the </w:t>
      </w:r>
      <w:r>
        <w:t xml:space="preserve">Commission </w:t>
      </w:r>
      <w:r w:rsidRPr="00CB4AD0">
        <w:t>decides on a</w:t>
      </w:r>
      <w:r>
        <w:t xml:space="preserve"> less stringent </w:t>
      </w:r>
      <w:r w:rsidRPr="00CB4AD0">
        <w:t xml:space="preserve">option then, in addition to </w:t>
      </w:r>
      <w:r>
        <w:t xml:space="preserve">recording in the minutes, or if applicable the transcript, </w:t>
      </w:r>
      <w:r w:rsidRPr="00CB4AD0">
        <w:t xml:space="preserve">why it is in the public interest, careful monitoring will occur to ensure that the </w:t>
      </w:r>
      <w:r>
        <w:t xml:space="preserve">less stringent </w:t>
      </w:r>
      <w:r w:rsidRPr="00CB4AD0">
        <w:t xml:space="preserve">option remains appropriate.  </w:t>
      </w:r>
    </w:p>
    <w:p w14:paraId="3963AB23" w14:textId="77777777" w:rsidR="00191570" w:rsidRPr="00CB4AD0" w:rsidRDefault="00191570" w:rsidP="00191570">
      <w:pPr>
        <w:ind w:left="907"/>
      </w:pPr>
      <w:r w:rsidRPr="00CB4AD0">
        <w:t>Examples of where a</w:t>
      </w:r>
      <w:r>
        <w:t xml:space="preserve"> less stringent </w:t>
      </w:r>
      <w:r w:rsidRPr="00CB4AD0">
        <w:t>option may be in the public interest, takin</w:t>
      </w:r>
      <w:r>
        <w:t xml:space="preserve">g into account all the relevant </w:t>
      </w:r>
      <w:r w:rsidRPr="00CB4AD0">
        <w:t>circumstances, include:</w:t>
      </w:r>
    </w:p>
    <w:p w14:paraId="3FA93CCD" w14:textId="77777777" w:rsidR="00191570" w:rsidRPr="00E86162" w:rsidRDefault="00191570" w:rsidP="00191570">
      <w:pPr>
        <w:pStyle w:val="ListParagraph"/>
        <w:numPr>
          <w:ilvl w:val="0"/>
          <w:numId w:val="54"/>
        </w:numPr>
        <w:ind w:left="1264" w:hanging="357"/>
        <w:contextualSpacing w:val="0"/>
      </w:pPr>
      <w:r w:rsidRPr="00E86162">
        <w:rPr>
          <w:b/>
        </w:rPr>
        <w:t>Discussion:</w:t>
      </w:r>
      <w:r w:rsidRPr="00E86162">
        <w:t xml:space="preserve"> If the ‘conflicted’ Commissioner was appointed on the basis of their knowledge of the matter, it may be in the public interest for them to be present for part of the Commission’s discussions.  However, if an ‘unconflicted’ Commissioner is absent who also has this expertise, it will usually be in the public interest for discussion to occur at the next meeting instead. </w:t>
      </w:r>
    </w:p>
    <w:p w14:paraId="5A8E4B34" w14:textId="77777777" w:rsidR="00191570" w:rsidRPr="00E86162" w:rsidRDefault="00191570" w:rsidP="00191570">
      <w:pPr>
        <w:pStyle w:val="ListParagraph"/>
        <w:numPr>
          <w:ilvl w:val="0"/>
          <w:numId w:val="54"/>
        </w:numPr>
        <w:ind w:left="1264" w:hanging="357"/>
        <w:contextualSpacing w:val="0"/>
      </w:pPr>
      <w:r w:rsidRPr="00E86162">
        <w:rPr>
          <w:b/>
        </w:rPr>
        <w:t>Decision:</w:t>
      </w:r>
      <w:r w:rsidRPr="00E86162">
        <w:t xml:space="preserve"> If the recommended procedure would mean that there is no quorum for the decision even if all ‘unconflicted’ Commissioners are present, then a less stringent option will be in the public interest.</w:t>
      </w:r>
      <w:r w:rsidRPr="00DE0EDC">
        <w:rPr>
          <w:sz w:val="16"/>
          <w:szCs w:val="16"/>
        </w:rPr>
        <w:footnoteReference w:id="5"/>
      </w:r>
      <w:r>
        <w:t xml:space="preserve"> </w:t>
      </w:r>
      <w:r w:rsidRPr="00E86162">
        <w:t>However, if ‘unconflicted’ Commissioners are absent then it will usually be in the public interest for the decision to be held over to the n</w:t>
      </w:r>
      <w:r>
        <w:t>ext Commission meeting instead.</w:t>
      </w:r>
    </w:p>
    <w:p w14:paraId="1FE7F5B7" w14:textId="77777777" w:rsidR="00191570" w:rsidRDefault="00191570" w:rsidP="00191570">
      <w:pPr>
        <w:pStyle w:val="Heading2"/>
        <w:tabs>
          <w:tab w:val="num" w:pos="1220"/>
        </w:tabs>
        <w:spacing w:before="0"/>
        <w:ind w:left="907" w:hanging="907"/>
      </w:pPr>
      <w:bookmarkStart w:id="65" w:name="_Toc451435295"/>
      <w:bookmarkStart w:id="66" w:name="_Toc42267209"/>
      <w:bookmarkStart w:id="67" w:name="_Toc71899096"/>
      <w:bookmarkStart w:id="68" w:name="_Toc150497288"/>
      <w:r>
        <w:t>Managing non-material conflicts of interest</w:t>
      </w:r>
      <w:bookmarkEnd w:id="65"/>
      <w:bookmarkEnd w:id="66"/>
      <w:bookmarkEnd w:id="67"/>
      <w:bookmarkEnd w:id="68"/>
      <w:r>
        <w:t xml:space="preserve">  </w:t>
      </w:r>
    </w:p>
    <w:p w14:paraId="20CA2F92" w14:textId="77777777" w:rsidR="00191570" w:rsidRDefault="00191570" w:rsidP="00191570">
      <w:pPr>
        <w:tabs>
          <w:tab w:val="left" w:pos="907"/>
        </w:tabs>
        <w:ind w:left="907"/>
      </w:pPr>
      <w:r w:rsidRPr="00CB4AD0">
        <w:t xml:space="preserve">For </w:t>
      </w:r>
      <w:r w:rsidRPr="005D17F8">
        <w:t>non-material</w:t>
      </w:r>
      <w:r w:rsidRPr="00CB4AD0">
        <w:t xml:space="preserve"> conflict</w:t>
      </w:r>
      <w:r>
        <w:t>s</w:t>
      </w:r>
      <w:r w:rsidRPr="00CB4AD0">
        <w:t xml:space="preserve"> of interest</w:t>
      </w:r>
      <w:r>
        <w:t>s</w:t>
      </w:r>
      <w:r w:rsidRPr="00CB4AD0">
        <w:t>, there is more likelihood that a</w:t>
      </w:r>
      <w:r>
        <w:t xml:space="preserve"> less stringent </w:t>
      </w:r>
      <w:r w:rsidRPr="00CB4AD0">
        <w:t>option (i.e. record, restrict or re</w:t>
      </w:r>
      <w:r>
        <w:t>fer</w:t>
      </w:r>
      <w:r w:rsidRPr="00CB4AD0">
        <w:t xml:space="preserve">) will be in the public interest.  In making its decision, the </w:t>
      </w:r>
      <w:r>
        <w:t>Commission</w:t>
      </w:r>
      <w:r w:rsidRPr="00CB4AD0">
        <w:t xml:space="preserve"> will take into account all relevant factors and circumstances (e.g. the lower </w:t>
      </w:r>
      <w:r>
        <w:t xml:space="preserve">the severity </w:t>
      </w:r>
      <w:r w:rsidRPr="00CB4AD0">
        <w:t>of the conflict, the more likely that a</w:t>
      </w:r>
      <w:r>
        <w:t xml:space="preserve"> less stringent</w:t>
      </w:r>
      <w:r w:rsidRPr="00CB4AD0">
        <w:t xml:space="preserve"> option will be in the public interest).</w:t>
      </w:r>
    </w:p>
    <w:p w14:paraId="078FAF76" w14:textId="77777777" w:rsidR="00191570" w:rsidRDefault="00191570" w:rsidP="00191570">
      <w:pPr>
        <w:tabs>
          <w:tab w:val="left" w:pos="907"/>
        </w:tabs>
        <w:ind w:left="907"/>
      </w:pPr>
      <w:r w:rsidRPr="00CB4AD0">
        <w:t xml:space="preserve">If the </w:t>
      </w:r>
      <w:r>
        <w:t xml:space="preserve">Commission </w:t>
      </w:r>
      <w:r w:rsidRPr="00CB4AD0">
        <w:t>decides on a</w:t>
      </w:r>
      <w:r>
        <w:t xml:space="preserve"> less stringent</w:t>
      </w:r>
      <w:r w:rsidRPr="00CB4AD0">
        <w:t xml:space="preserve"> option then, in addition to minuting why it is in the public interest, careful monitoring will occur to ensure that it remains appropriate (e.g. the </w:t>
      </w:r>
      <w:r>
        <w:t>Commission</w:t>
      </w:r>
      <w:r w:rsidRPr="00CB4AD0">
        <w:t xml:space="preserve"> may initially determine to only record the conflict but after monitoring may decide instead that the </w:t>
      </w:r>
      <w:r>
        <w:t>Commissioner</w:t>
      </w:r>
      <w:r w:rsidRPr="00CB4AD0">
        <w:t xml:space="preserve"> can participate in part of the discussion but must be removed from all decision-making on the matter). </w:t>
      </w:r>
    </w:p>
    <w:p w14:paraId="2E4AF6EB" w14:textId="77777777" w:rsidR="00191570" w:rsidRDefault="00191570" w:rsidP="00191570">
      <w:pPr>
        <w:tabs>
          <w:tab w:val="left" w:pos="907"/>
        </w:tabs>
        <w:ind w:left="907"/>
      </w:pPr>
      <w:r w:rsidRPr="00CB4AD0">
        <w:t xml:space="preserve">If the </w:t>
      </w:r>
      <w:r>
        <w:t>Commission</w:t>
      </w:r>
      <w:r w:rsidRPr="00CB4AD0">
        <w:t xml:space="preserve"> is unsure whether a</w:t>
      </w:r>
      <w:r>
        <w:t xml:space="preserve"> less stringent</w:t>
      </w:r>
      <w:r w:rsidRPr="00CB4AD0">
        <w:t xml:space="preserve"> option is in the public interest it will err on the side of caution and de</w:t>
      </w:r>
      <w:r>
        <w:t>cide on the standard procedure to</w:t>
      </w:r>
      <w:r w:rsidRPr="00CB4AD0">
        <w:t xml:space="preserve"> </w:t>
      </w:r>
      <w:r w:rsidRPr="005D17F8">
        <w:t>remove</w:t>
      </w:r>
      <w:r w:rsidRPr="00CB4AD0">
        <w:t xml:space="preserve"> (i.e.</w:t>
      </w:r>
      <w:r w:rsidRPr="00CB4AD0">
        <w:rPr>
          <w:b/>
        </w:rPr>
        <w:t xml:space="preserve"> </w:t>
      </w:r>
      <w:r w:rsidRPr="00CB4AD0">
        <w:t xml:space="preserve">the </w:t>
      </w:r>
      <w:r>
        <w:t>Commissioner</w:t>
      </w:r>
      <w:r w:rsidRPr="00CB4AD0">
        <w:t xml:space="preserve"> will leave the room and not participate in any discussion or decision-making on the matter).</w:t>
      </w:r>
    </w:p>
    <w:p w14:paraId="0CEF5FEE" w14:textId="77777777" w:rsidR="00191570" w:rsidRDefault="00191570" w:rsidP="00191570">
      <w:pPr>
        <w:pStyle w:val="Heading2"/>
        <w:tabs>
          <w:tab w:val="num" w:pos="1220"/>
        </w:tabs>
        <w:spacing w:before="0"/>
        <w:ind w:left="907" w:hanging="907"/>
      </w:pPr>
      <w:bookmarkStart w:id="69" w:name="_Toc451432112"/>
      <w:bookmarkStart w:id="70" w:name="_Toc451432613"/>
      <w:bookmarkStart w:id="71" w:name="_Toc451432948"/>
      <w:bookmarkStart w:id="72" w:name="_Toc451433315"/>
      <w:bookmarkStart w:id="73" w:name="_Toc451433388"/>
      <w:bookmarkStart w:id="74" w:name="_Toc451433461"/>
      <w:bookmarkStart w:id="75" w:name="_Toc451433534"/>
      <w:bookmarkStart w:id="76" w:name="_Toc451433607"/>
      <w:bookmarkStart w:id="77" w:name="_Toc451433680"/>
      <w:bookmarkStart w:id="78" w:name="_Toc451435296"/>
      <w:bookmarkStart w:id="79" w:name="_Toc451432113"/>
      <w:bookmarkStart w:id="80" w:name="_Toc451432614"/>
      <w:bookmarkStart w:id="81" w:name="_Toc451432949"/>
      <w:bookmarkStart w:id="82" w:name="_Toc451433316"/>
      <w:bookmarkStart w:id="83" w:name="_Toc451433389"/>
      <w:bookmarkStart w:id="84" w:name="_Toc451433462"/>
      <w:bookmarkStart w:id="85" w:name="_Toc451433535"/>
      <w:bookmarkStart w:id="86" w:name="_Toc451433608"/>
      <w:bookmarkStart w:id="87" w:name="_Toc451433681"/>
      <w:bookmarkStart w:id="88" w:name="_Toc451435297"/>
      <w:bookmarkStart w:id="89" w:name="_Toc451432114"/>
      <w:bookmarkStart w:id="90" w:name="_Toc451432615"/>
      <w:bookmarkStart w:id="91" w:name="_Toc451432950"/>
      <w:bookmarkStart w:id="92" w:name="_Toc451433317"/>
      <w:bookmarkStart w:id="93" w:name="_Toc451433390"/>
      <w:bookmarkStart w:id="94" w:name="_Toc451433463"/>
      <w:bookmarkStart w:id="95" w:name="_Toc451433536"/>
      <w:bookmarkStart w:id="96" w:name="_Toc451433609"/>
      <w:bookmarkStart w:id="97" w:name="_Toc451433682"/>
      <w:bookmarkStart w:id="98" w:name="_Toc451435298"/>
      <w:bookmarkStart w:id="99" w:name="_Toc451432115"/>
      <w:bookmarkStart w:id="100" w:name="_Toc451432616"/>
      <w:bookmarkStart w:id="101" w:name="_Toc451432951"/>
      <w:bookmarkStart w:id="102" w:name="_Toc451433318"/>
      <w:bookmarkStart w:id="103" w:name="_Toc451433391"/>
      <w:bookmarkStart w:id="104" w:name="_Toc451433464"/>
      <w:bookmarkStart w:id="105" w:name="_Toc451433537"/>
      <w:bookmarkStart w:id="106" w:name="_Toc451433610"/>
      <w:bookmarkStart w:id="107" w:name="_Toc451433683"/>
      <w:bookmarkStart w:id="108" w:name="_Toc451435299"/>
      <w:bookmarkStart w:id="109" w:name="_Toc451432116"/>
      <w:bookmarkStart w:id="110" w:name="_Toc451432617"/>
      <w:bookmarkStart w:id="111" w:name="_Toc451432952"/>
      <w:bookmarkStart w:id="112" w:name="_Toc451433319"/>
      <w:bookmarkStart w:id="113" w:name="_Toc451433392"/>
      <w:bookmarkStart w:id="114" w:name="_Toc451433465"/>
      <w:bookmarkStart w:id="115" w:name="_Toc451433538"/>
      <w:bookmarkStart w:id="116" w:name="_Toc451433611"/>
      <w:bookmarkStart w:id="117" w:name="_Toc451433684"/>
      <w:bookmarkStart w:id="118" w:name="_Toc451435300"/>
      <w:bookmarkStart w:id="119" w:name="_Toc451432117"/>
      <w:bookmarkStart w:id="120" w:name="_Toc451432618"/>
      <w:bookmarkStart w:id="121" w:name="_Toc451432953"/>
      <w:bookmarkStart w:id="122" w:name="_Toc451433320"/>
      <w:bookmarkStart w:id="123" w:name="_Toc451433393"/>
      <w:bookmarkStart w:id="124" w:name="_Toc451433466"/>
      <w:bookmarkStart w:id="125" w:name="_Toc451433539"/>
      <w:bookmarkStart w:id="126" w:name="_Toc451433612"/>
      <w:bookmarkStart w:id="127" w:name="_Toc451433685"/>
      <w:bookmarkStart w:id="128" w:name="_Toc451435301"/>
      <w:bookmarkStart w:id="129" w:name="_Toc451432121"/>
      <w:bookmarkStart w:id="130" w:name="_Toc451432622"/>
      <w:bookmarkStart w:id="131" w:name="_Toc451432957"/>
      <w:bookmarkStart w:id="132" w:name="_Toc451433324"/>
      <w:bookmarkStart w:id="133" w:name="_Toc451433397"/>
      <w:bookmarkStart w:id="134" w:name="_Toc451433470"/>
      <w:bookmarkStart w:id="135" w:name="_Toc451433543"/>
      <w:bookmarkStart w:id="136" w:name="_Toc451433616"/>
      <w:bookmarkStart w:id="137" w:name="_Toc451433689"/>
      <w:bookmarkStart w:id="138" w:name="_Toc451435305"/>
      <w:bookmarkStart w:id="139" w:name="_Toc451432122"/>
      <w:bookmarkStart w:id="140" w:name="_Toc451432623"/>
      <w:bookmarkStart w:id="141" w:name="_Toc451432958"/>
      <w:bookmarkStart w:id="142" w:name="_Toc451433325"/>
      <w:bookmarkStart w:id="143" w:name="_Toc451433398"/>
      <w:bookmarkStart w:id="144" w:name="_Toc451433471"/>
      <w:bookmarkStart w:id="145" w:name="_Toc451433544"/>
      <w:bookmarkStart w:id="146" w:name="_Toc451433617"/>
      <w:bookmarkStart w:id="147" w:name="_Toc451433690"/>
      <w:bookmarkStart w:id="148" w:name="_Toc451435306"/>
      <w:bookmarkStart w:id="149" w:name="_Toc451432123"/>
      <w:bookmarkStart w:id="150" w:name="_Toc451432624"/>
      <w:bookmarkStart w:id="151" w:name="_Toc451432959"/>
      <w:bookmarkStart w:id="152" w:name="_Toc451433326"/>
      <w:bookmarkStart w:id="153" w:name="_Toc451433399"/>
      <w:bookmarkStart w:id="154" w:name="_Toc451433472"/>
      <w:bookmarkStart w:id="155" w:name="_Toc451433545"/>
      <w:bookmarkStart w:id="156" w:name="_Toc451433618"/>
      <w:bookmarkStart w:id="157" w:name="_Toc451433691"/>
      <w:bookmarkStart w:id="158" w:name="_Toc451435307"/>
      <w:bookmarkStart w:id="159" w:name="_Toc451432126"/>
      <w:bookmarkStart w:id="160" w:name="_Toc451432627"/>
      <w:bookmarkStart w:id="161" w:name="_Toc451432962"/>
      <w:bookmarkStart w:id="162" w:name="_Toc451433329"/>
      <w:bookmarkStart w:id="163" w:name="_Toc451433402"/>
      <w:bookmarkStart w:id="164" w:name="_Toc451433475"/>
      <w:bookmarkStart w:id="165" w:name="_Toc451433548"/>
      <w:bookmarkStart w:id="166" w:name="_Toc451433621"/>
      <w:bookmarkStart w:id="167" w:name="_Toc451433694"/>
      <w:bookmarkStart w:id="168" w:name="_Toc451435310"/>
      <w:bookmarkStart w:id="169" w:name="_Toc451432128"/>
      <w:bookmarkStart w:id="170" w:name="_Toc451432629"/>
      <w:bookmarkStart w:id="171" w:name="_Toc451432964"/>
      <w:bookmarkStart w:id="172" w:name="_Toc451433331"/>
      <w:bookmarkStart w:id="173" w:name="_Toc451433404"/>
      <w:bookmarkStart w:id="174" w:name="_Toc451433477"/>
      <w:bookmarkStart w:id="175" w:name="_Toc451433550"/>
      <w:bookmarkStart w:id="176" w:name="_Toc451433623"/>
      <w:bookmarkStart w:id="177" w:name="_Toc451433696"/>
      <w:bookmarkStart w:id="178" w:name="_Toc451435312"/>
      <w:bookmarkStart w:id="179" w:name="_Toc451432129"/>
      <w:bookmarkStart w:id="180" w:name="_Toc451432630"/>
      <w:bookmarkStart w:id="181" w:name="_Toc451432965"/>
      <w:bookmarkStart w:id="182" w:name="_Toc451433332"/>
      <w:bookmarkStart w:id="183" w:name="_Toc451433405"/>
      <w:bookmarkStart w:id="184" w:name="_Toc451433478"/>
      <w:bookmarkStart w:id="185" w:name="_Toc451433551"/>
      <w:bookmarkStart w:id="186" w:name="_Toc451433624"/>
      <w:bookmarkStart w:id="187" w:name="_Toc451433697"/>
      <w:bookmarkStart w:id="188" w:name="_Toc451435313"/>
      <w:bookmarkStart w:id="189" w:name="_Toc451432130"/>
      <w:bookmarkStart w:id="190" w:name="_Toc451432631"/>
      <w:bookmarkStart w:id="191" w:name="_Toc451432966"/>
      <w:bookmarkStart w:id="192" w:name="_Toc451433333"/>
      <w:bookmarkStart w:id="193" w:name="_Toc451433406"/>
      <w:bookmarkStart w:id="194" w:name="_Toc451433479"/>
      <w:bookmarkStart w:id="195" w:name="_Toc451433552"/>
      <w:bookmarkStart w:id="196" w:name="_Toc451433625"/>
      <w:bookmarkStart w:id="197" w:name="_Toc451433698"/>
      <w:bookmarkStart w:id="198" w:name="_Toc451435314"/>
      <w:bookmarkStart w:id="199" w:name="_Toc451432131"/>
      <w:bookmarkStart w:id="200" w:name="_Toc451432632"/>
      <w:bookmarkStart w:id="201" w:name="_Toc451432967"/>
      <w:bookmarkStart w:id="202" w:name="_Toc451433334"/>
      <w:bookmarkStart w:id="203" w:name="_Toc451433407"/>
      <w:bookmarkStart w:id="204" w:name="_Toc451433480"/>
      <w:bookmarkStart w:id="205" w:name="_Toc451433553"/>
      <w:bookmarkStart w:id="206" w:name="_Toc451433626"/>
      <w:bookmarkStart w:id="207" w:name="_Toc451433699"/>
      <w:bookmarkStart w:id="208" w:name="_Toc451435315"/>
      <w:bookmarkStart w:id="209" w:name="_Toc451435316"/>
      <w:bookmarkStart w:id="210" w:name="_Toc42267210"/>
      <w:bookmarkStart w:id="211" w:name="_Toc71899097"/>
      <w:bookmarkStart w:id="212" w:name="_Toc15049728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t>If a Commissioner discloses an interest, will the relevant parties be advised?</w:t>
      </w:r>
      <w:bookmarkEnd w:id="209"/>
      <w:bookmarkEnd w:id="210"/>
      <w:bookmarkEnd w:id="211"/>
      <w:bookmarkEnd w:id="212"/>
    </w:p>
    <w:p w14:paraId="563FD6AC" w14:textId="77777777" w:rsidR="00191570" w:rsidRDefault="00191570" w:rsidP="00191570">
      <w:pPr>
        <w:pStyle w:val="BODYYY"/>
        <w:spacing w:before="0"/>
      </w:pPr>
      <w:r>
        <w:t>This depends on the facts of each case whether a Commissioner is required to disclose an interest to parties involved. It is recommended that Commissioners disclose any conflict of interest to the parties if the interest in question causes a serious possibility of perceived bias.</w:t>
      </w:r>
    </w:p>
    <w:p w14:paraId="6A1B5A93" w14:textId="77777777" w:rsidR="00191570" w:rsidRDefault="00191570" w:rsidP="00191570">
      <w:pPr>
        <w:pStyle w:val="BODYYY"/>
        <w:spacing w:before="0"/>
      </w:pPr>
      <w:r w:rsidRPr="00F82FAB">
        <w:lastRenderedPageBreak/>
        <w:t>The Commissioner should present all of t</w:t>
      </w:r>
      <w:r>
        <w:t>he relevant matters and facts relating to</w:t>
      </w:r>
      <w:r w:rsidRPr="00F82FAB">
        <w:t xml:space="preserve"> the interest.</w:t>
      </w:r>
      <w:r>
        <w:t xml:space="preserve"> </w:t>
      </w:r>
      <w:r w:rsidRPr="00F82FAB">
        <w:t>This will enable the parties to make submissions to the Commission</w:t>
      </w:r>
      <w:r>
        <w:t xml:space="preserve"> or the </w:t>
      </w:r>
      <w:r w:rsidRPr="00F82FAB">
        <w:t>Commissioner about whether the Commissioner</w:t>
      </w:r>
      <w:r>
        <w:t xml:space="preserve"> in question should be excused</w:t>
      </w:r>
      <w:r w:rsidRPr="00F82FAB">
        <w:t xml:space="preserve"> from deciding the matter. </w:t>
      </w:r>
      <w:r>
        <w:t xml:space="preserve">A party may bring to the attention of the Commission, or Commissioner a relevant matter or the possible consequences of a matter, in order to assist the Commission or Commissioner to determine the question of conflict and disclosure. </w:t>
      </w:r>
    </w:p>
    <w:p w14:paraId="366EAE4B" w14:textId="77777777" w:rsidR="00191570" w:rsidRDefault="00191570" w:rsidP="00191570">
      <w:pPr>
        <w:pStyle w:val="BODYYY"/>
        <w:spacing w:before="0"/>
      </w:pPr>
      <w:r>
        <w:t xml:space="preserve">It is recommended that the disclosure of interest should occur at the earliest possible opportunity. </w:t>
      </w:r>
    </w:p>
    <w:p w14:paraId="4F213482" w14:textId="32C6F742" w:rsidR="00191570" w:rsidRDefault="00191570" w:rsidP="00191570">
      <w:pPr>
        <w:pStyle w:val="BODYYY"/>
        <w:spacing w:before="0"/>
      </w:pPr>
      <w:r>
        <w:t xml:space="preserve">In the case that a Commissioner excuses themselves from a meeting where a matter that they have an interest in is being considered, the Commissioner usually will not disclose their interest to the parties (although they will still be required to disclose the interest to the Chair under section 21 of the VGCCC Act). </w:t>
      </w:r>
    </w:p>
    <w:p w14:paraId="47E84115" w14:textId="77777777" w:rsidR="00191570" w:rsidRDefault="00191570" w:rsidP="00191570">
      <w:pPr>
        <w:pStyle w:val="Heading2"/>
        <w:tabs>
          <w:tab w:val="num" w:pos="1220"/>
        </w:tabs>
        <w:spacing w:before="0"/>
        <w:ind w:left="907" w:hanging="907"/>
      </w:pPr>
      <w:bookmarkStart w:id="213" w:name="_Toc451435317"/>
      <w:bookmarkStart w:id="214" w:name="_Toc42267211"/>
      <w:bookmarkStart w:id="215" w:name="_Toc71899098"/>
      <w:bookmarkStart w:id="216" w:name="_Toc150497290"/>
      <w:r>
        <w:t>What if a party to a matter being considered is dissatisfied that a Commissioner is continuing to participate in the matter?</w:t>
      </w:r>
      <w:bookmarkEnd w:id="213"/>
      <w:bookmarkEnd w:id="214"/>
      <w:bookmarkEnd w:id="215"/>
      <w:bookmarkEnd w:id="216"/>
    </w:p>
    <w:p w14:paraId="3415A503" w14:textId="77777777" w:rsidR="00191570" w:rsidRPr="00F82FAB" w:rsidRDefault="00191570" w:rsidP="00191570">
      <w:pPr>
        <w:pStyle w:val="BODYYY"/>
        <w:spacing w:before="0"/>
      </w:pPr>
      <w:r w:rsidRPr="00F82FAB">
        <w:t>The rules of na</w:t>
      </w:r>
      <w:r>
        <w:t>tural justice require that the C</w:t>
      </w:r>
      <w:r w:rsidRPr="00F82FAB">
        <w:t>ommissioners allocated to determine a matter be free of any bias or reasonable suspicion or apprehension of bias.</w:t>
      </w:r>
    </w:p>
    <w:p w14:paraId="3D682A86" w14:textId="77777777" w:rsidR="00191570" w:rsidRPr="00F82FAB" w:rsidRDefault="00191570" w:rsidP="00191570">
      <w:pPr>
        <w:pStyle w:val="BODYYY"/>
        <w:spacing w:before="0"/>
      </w:pPr>
      <w:r w:rsidRPr="00F82FAB">
        <w:t xml:space="preserve">Where an objection is raised to a </w:t>
      </w:r>
      <w:r>
        <w:t>C</w:t>
      </w:r>
      <w:r w:rsidRPr="00F82FAB">
        <w:t>ommissioner participating in a matter, the Commission should:</w:t>
      </w:r>
    </w:p>
    <w:p w14:paraId="603426A0" w14:textId="77777777" w:rsidR="00191570" w:rsidRPr="00F82FAB" w:rsidRDefault="00191570" w:rsidP="00191570">
      <w:pPr>
        <w:pStyle w:val="BODYYY"/>
        <w:numPr>
          <w:ilvl w:val="0"/>
          <w:numId w:val="50"/>
        </w:numPr>
        <w:spacing w:before="0"/>
      </w:pPr>
      <w:r>
        <w:t>R</w:t>
      </w:r>
      <w:r w:rsidRPr="00F82FAB">
        <w:t>equire the person making the objection to identif</w:t>
      </w:r>
      <w:r>
        <w:t>y what is said might lead a C</w:t>
      </w:r>
      <w:r w:rsidRPr="00F82FAB">
        <w:t>ommissioner to decide a case other than on its legal or factual merits and to articulate the logical connection between the matter and the feared deviation from the course of deciding the case on its merits</w:t>
      </w:r>
    </w:p>
    <w:p w14:paraId="4BBAC10F" w14:textId="77777777" w:rsidR="00191570" w:rsidRDefault="00191570" w:rsidP="00191570">
      <w:pPr>
        <w:pStyle w:val="BODYYY"/>
        <w:numPr>
          <w:ilvl w:val="0"/>
          <w:numId w:val="50"/>
        </w:numPr>
        <w:spacing w:before="0"/>
      </w:pPr>
      <w:r>
        <w:t>A</w:t>
      </w:r>
      <w:r w:rsidRPr="00F82FAB">
        <w:t xml:space="preserve">ssess whether, having regard to the identified matter and its logical connection with the matter being decided other than on its merits, a fair-minded observer might reasonably apprehend that the matter might not be decided impartially. </w:t>
      </w:r>
    </w:p>
    <w:p w14:paraId="568D3CBB" w14:textId="3DE5DBDF" w:rsidR="00191570" w:rsidRDefault="00191570" w:rsidP="00191570">
      <w:pPr>
        <w:pStyle w:val="BODYYY"/>
        <w:spacing w:before="0"/>
      </w:pPr>
      <w:r>
        <w:t>Some decisions made by a single Commissioner are capable of being reviewed internally by the Commission</w:t>
      </w:r>
      <w:r w:rsidRPr="008144D5">
        <w:t>.</w:t>
      </w:r>
      <w:r>
        <w:t xml:space="preserve">  </w:t>
      </w:r>
    </w:p>
    <w:p w14:paraId="035FBB70" w14:textId="08D7CAE9" w:rsidR="00191570" w:rsidRDefault="00191570" w:rsidP="00191570">
      <w:pPr>
        <w:pStyle w:val="BODYYY"/>
        <w:spacing w:before="0"/>
        <w:rPr>
          <w:b/>
        </w:rPr>
      </w:pPr>
      <w:r>
        <w:t xml:space="preserve">Additionally, parties affected by a decision of the Commission may have a right of </w:t>
      </w:r>
      <w:r w:rsidRPr="008144D5">
        <w:t xml:space="preserve">appeal of a decision of the </w:t>
      </w:r>
      <w:r>
        <w:t>VGCCC</w:t>
      </w:r>
      <w:r w:rsidRPr="008144D5">
        <w:t xml:space="preserve"> to the Supreme Court on a point of law under the </w:t>
      </w:r>
      <w:r w:rsidRPr="008144D5">
        <w:rPr>
          <w:i/>
        </w:rPr>
        <w:t>Gambling Regulation Act 2003</w:t>
      </w:r>
      <w:r w:rsidRPr="008144D5">
        <w:t xml:space="preserve">.  Parties may also have a right of review under the </w:t>
      </w:r>
      <w:r w:rsidRPr="008144D5">
        <w:rPr>
          <w:i/>
        </w:rPr>
        <w:t>Administrative Law Act 1978</w:t>
      </w:r>
      <w:r w:rsidRPr="008144D5">
        <w:t>.</w:t>
      </w:r>
      <w:r>
        <w:rPr>
          <w:b/>
        </w:rPr>
        <w:t xml:space="preserve"> </w:t>
      </w:r>
    </w:p>
    <w:p w14:paraId="0AA66193" w14:textId="77777777" w:rsidR="00191570" w:rsidRDefault="00191570" w:rsidP="00191570">
      <w:pPr>
        <w:pStyle w:val="Heading2"/>
        <w:tabs>
          <w:tab w:val="num" w:pos="1220"/>
        </w:tabs>
        <w:spacing w:before="0"/>
        <w:ind w:left="907" w:hanging="907"/>
      </w:pPr>
      <w:bookmarkStart w:id="217" w:name="_Toc420396003"/>
      <w:bookmarkStart w:id="218" w:name="_Toc420396681"/>
      <w:bookmarkStart w:id="219" w:name="_Toc451432134"/>
      <w:bookmarkStart w:id="220" w:name="_Toc451432635"/>
      <w:bookmarkStart w:id="221" w:name="_Toc451432970"/>
      <w:bookmarkStart w:id="222" w:name="_Toc451433337"/>
      <w:bookmarkStart w:id="223" w:name="_Toc451433410"/>
      <w:bookmarkStart w:id="224" w:name="_Toc451433483"/>
      <w:bookmarkStart w:id="225" w:name="_Toc451433556"/>
      <w:bookmarkStart w:id="226" w:name="_Toc451433629"/>
      <w:bookmarkStart w:id="227" w:name="_Toc451433702"/>
      <w:bookmarkStart w:id="228" w:name="_Toc451435318"/>
      <w:bookmarkStart w:id="229" w:name="_Toc451432136"/>
      <w:bookmarkStart w:id="230" w:name="_Toc451432637"/>
      <w:bookmarkStart w:id="231" w:name="_Toc451432972"/>
      <w:bookmarkStart w:id="232" w:name="_Toc451433339"/>
      <w:bookmarkStart w:id="233" w:name="_Toc451433412"/>
      <w:bookmarkStart w:id="234" w:name="_Toc451433485"/>
      <w:bookmarkStart w:id="235" w:name="_Toc451433558"/>
      <w:bookmarkStart w:id="236" w:name="_Toc451433631"/>
      <w:bookmarkStart w:id="237" w:name="_Toc451433704"/>
      <w:bookmarkStart w:id="238" w:name="_Toc451435320"/>
      <w:bookmarkStart w:id="239" w:name="_Toc451435323"/>
      <w:bookmarkStart w:id="240" w:name="_Toc42267212"/>
      <w:bookmarkStart w:id="241" w:name="_Toc71899099"/>
      <w:bookmarkStart w:id="242" w:name="_Toc15049729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t>Decisions taken where a Commissioner has an interest</w:t>
      </w:r>
      <w:bookmarkEnd w:id="239"/>
      <w:bookmarkEnd w:id="240"/>
      <w:bookmarkEnd w:id="241"/>
      <w:bookmarkEnd w:id="242"/>
    </w:p>
    <w:p w14:paraId="2BFA0C7C" w14:textId="77777777" w:rsidR="00191570" w:rsidRPr="00911BA9" w:rsidRDefault="00191570" w:rsidP="00191570">
      <w:pPr>
        <w:pStyle w:val="BODYYY"/>
        <w:spacing w:before="0"/>
      </w:pPr>
      <w:r w:rsidRPr="00911BA9">
        <w:t xml:space="preserve">Where the </w:t>
      </w:r>
      <w:r>
        <w:t>Commission</w:t>
      </w:r>
      <w:r w:rsidRPr="00911BA9">
        <w:t xml:space="preserve"> must decide upon a matter in which a</w:t>
      </w:r>
      <w:r>
        <w:t xml:space="preserve"> Commissioner</w:t>
      </w:r>
      <w:r w:rsidRPr="00911BA9">
        <w:t xml:space="preserve"> has an interest, all decisions will be made by a vote, with a </w:t>
      </w:r>
      <w:r>
        <w:t xml:space="preserve">majority </w:t>
      </w:r>
      <w:r w:rsidRPr="00911BA9">
        <w:t xml:space="preserve">required. </w:t>
      </w:r>
    </w:p>
    <w:p w14:paraId="32BDC0D9" w14:textId="77777777" w:rsidR="00191570" w:rsidRDefault="00191570" w:rsidP="00191570">
      <w:pPr>
        <w:pStyle w:val="BODYYY"/>
        <w:spacing w:before="0"/>
      </w:pPr>
      <w:r w:rsidRPr="00911BA9">
        <w:t>A quorum must be present for the discuss</w:t>
      </w:r>
      <w:r>
        <w:t xml:space="preserve">ion and decision, and Commissioners excluded from the matter due to a conflict </w:t>
      </w:r>
      <w:r w:rsidRPr="00911BA9">
        <w:t>will not be counted in determining whether the meeting has a quorum.</w:t>
      </w:r>
    </w:p>
    <w:p w14:paraId="349C0978" w14:textId="77777777" w:rsidR="00191570" w:rsidRPr="00911BA9" w:rsidRDefault="00191570" w:rsidP="00191570">
      <w:pPr>
        <w:pStyle w:val="BODYYY"/>
        <w:spacing w:before="0"/>
      </w:pPr>
      <w:r w:rsidRPr="00911BA9">
        <w:t xml:space="preserve">All decisions taken where a </w:t>
      </w:r>
      <w:r>
        <w:t>Commissioner</w:t>
      </w:r>
      <w:r w:rsidRPr="00911BA9">
        <w:t xml:space="preserve"> has a conflict of interest will be recorded by </w:t>
      </w:r>
      <w:r>
        <w:t>the Secretariat</w:t>
      </w:r>
      <w:r w:rsidRPr="00911BA9">
        <w:rPr>
          <w:i/>
        </w:rPr>
        <w:t xml:space="preserve"> </w:t>
      </w:r>
      <w:r w:rsidRPr="00911BA9">
        <w:t>and reported in the minutes of the meeting. The minutes must record:</w:t>
      </w:r>
    </w:p>
    <w:p w14:paraId="612402C1" w14:textId="2B5D5390" w:rsidR="00191570" w:rsidRPr="00911BA9" w:rsidRDefault="00191570" w:rsidP="00191570">
      <w:pPr>
        <w:pStyle w:val="BODYYY"/>
        <w:numPr>
          <w:ilvl w:val="0"/>
          <w:numId w:val="51"/>
        </w:numPr>
        <w:spacing w:before="0"/>
      </w:pPr>
      <w:r>
        <w:t>T</w:t>
      </w:r>
      <w:r w:rsidRPr="00911BA9">
        <w:t>he nature and extent of the director’s conflict</w:t>
      </w:r>
      <w:r w:rsidR="0006584B">
        <w:t>.</w:t>
      </w:r>
    </w:p>
    <w:p w14:paraId="3D8A8EDD" w14:textId="6B72F803" w:rsidR="00191570" w:rsidRPr="0067520A" w:rsidRDefault="00191570" w:rsidP="00191570">
      <w:pPr>
        <w:pStyle w:val="BODYYY"/>
        <w:numPr>
          <w:ilvl w:val="0"/>
          <w:numId w:val="51"/>
        </w:numPr>
        <w:spacing w:before="0"/>
      </w:pPr>
      <w:r>
        <w:t>W</w:t>
      </w:r>
      <w:r w:rsidRPr="0067520A">
        <w:t>hether the conflict was material</w:t>
      </w:r>
      <w:r w:rsidR="0006584B">
        <w:t>.</w:t>
      </w:r>
    </w:p>
    <w:p w14:paraId="07978B95" w14:textId="34A17F01" w:rsidR="00191570" w:rsidRPr="007C77F8" w:rsidRDefault="00191570" w:rsidP="00191570">
      <w:pPr>
        <w:pStyle w:val="BODYYY"/>
        <w:numPr>
          <w:ilvl w:val="0"/>
          <w:numId w:val="51"/>
        </w:numPr>
        <w:spacing w:before="0"/>
      </w:pPr>
      <w:r>
        <w:t>T</w:t>
      </w:r>
      <w:r w:rsidRPr="007C77F8">
        <w:t>he action the Commission will take to manage the conflict in the public interest</w:t>
      </w:r>
      <w:r w:rsidR="0006584B">
        <w:t>.</w:t>
      </w:r>
    </w:p>
    <w:p w14:paraId="5BD277B1" w14:textId="32922334" w:rsidR="00191570" w:rsidRPr="00A10CF9" w:rsidRDefault="00191570" w:rsidP="00191570">
      <w:pPr>
        <w:pStyle w:val="ListBullet"/>
        <w:numPr>
          <w:ilvl w:val="0"/>
          <w:numId w:val="51"/>
        </w:numPr>
        <w:spacing w:line="276" w:lineRule="auto"/>
      </w:pPr>
      <w:r>
        <w:rPr>
          <w:u w:val="none"/>
        </w:rPr>
        <w:t>I</w:t>
      </w:r>
      <w:r w:rsidRPr="007C77F8">
        <w:rPr>
          <w:u w:val="none"/>
        </w:rPr>
        <w:t>f a</w:t>
      </w:r>
      <w:r>
        <w:rPr>
          <w:u w:val="none"/>
        </w:rPr>
        <w:t xml:space="preserve"> less stringent </w:t>
      </w:r>
      <w:r w:rsidRPr="007C77F8">
        <w:rPr>
          <w:u w:val="none"/>
        </w:rPr>
        <w:t xml:space="preserve">option or </w:t>
      </w:r>
      <w:r>
        <w:rPr>
          <w:u w:val="none"/>
        </w:rPr>
        <w:t>more stringent</w:t>
      </w:r>
      <w:r w:rsidRPr="007C77F8">
        <w:rPr>
          <w:u w:val="none"/>
        </w:rPr>
        <w:t xml:space="preserve"> option is to be taken, why it is in the public interest</w:t>
      </w:r>
      <w:r w:rsidR="0006584B">
        <w:rPr>
          <w:u w:val="none"/>
        </w:rPr>
        <w:t>.</w:t>
      </w:r>
    </w:p>
    <w:p w14:paraId="3446B3B8" w14:textId="77777777" w:rsidR="00191570" w:rsidRDefault="00191570" w:rsidP="00191570">
      <w:pPr>
        <w:pStyle w:val="ListBullet"/>
        <w:numPr>
          <w:ilvl w:val="0"/>
          <w:numId w:val="51"/>
        </w:numPr>
        <w:spacing w:line="276" w:lineRule="auto"/>
      </w:pPr>
      <w:r>
        <w:rPr>
          <w:u w:val="none"/>
        </w:rPr>
        <w:t>I</w:t>
      </w:r>
      <w:r w:rsidRPr="00F93191">
        <w:rPr>
          <w:u w:val="none"/>
        </w:rPr>
        <w:t>f the Commissioner leaves the room during discussion and/or decision-making on the ‘conflicted’ matter, the time that they leave and return and the item (or part of the item) for which they were absent.</w:t>
      </w:r>
    </w:p>
    <w:p w14:paraId="17695B55" w14:textId="77777777" w:rsidR="00191570" w:rsidRDefault="00191570" w:rsidP="00191570">
      <w:pPr>
        <w:pStyle w:val="Heading1"/>
        <w:spacing w:after="120"/>
      </w:pPr>
      <w:bookmarkStart w:id="243" w:name="_Toc42267213"/>
      <w:bookmarkStart w:id="244" w:name="_Toc71899100"/>
      <w:bookmarkStart w:id="245" w:name="_Toc150497292"/>
      <w:r>
        <w:lastRenderedPageBreak/>
        <w:t>Breaches of this policy</w:t>
      </w:r>
      <w:bookmarkEnd w:id="243"/>
      <w:bookmarkEnd w:id="244"/>
      <w:bookmarkEnd w:id="245"/>
    </w:p>
    <w:p w14:paraId="3FE19C47" w14:textId="77777777" w:rsidR="00191570" w:rsidRPr="003529A1" w:rsidRDefault="00191570" w:rsidP="00191570">
      <w:pPr>
        <w:spacing w:line="276" w:lineRule="auto"/>
        <w:ind w:left="851"/>
      </w:pPr>
      <w:r w:rsidRPr="003529A1">
        <w:t xml:space="preserve">A </w:t>
      </w:r>
      <w:r>
        <w:t xml:space="preserve">Commissioner </w:t>
      </w:r>
      <w:r w:rsidRPr="003529A1">
        <w:t xml:space="preserve">who may have breached this policy must notify the </w:t>
      </w:r>
      <w:r>
        <w:t>C</w:t>
      </w:r>
      <w:r w:rsidRPr="003529A1">
        <w:t>hair immediately.</w:t>
      </w:r>
      <w:r>
        <w:t xml:space="preserve"> If the C</w:t>
      </w:r>
      <w:r w:rsidRPr="003529A1">
        <w:t xml:space="preserve">hair is of the view that a breach has not occurred, the </w:t>
      </w:r>
      <w:r>
        <w:t>Commission</w:t>
      </w:r>
      <w:r w:rsidRPr="003529A1">
        <w:t xml:space="preserve"> will determine at the next scheduled </w:t>
      </w:r>
      <w:r>
        <w:t>Commission</w:t>
      </w:r>
      <w:r w:rsidRPr="003529A1">
        <w:t xml:space="preserve"> meeting, and record in the minutes, whether a breach has occurred.</w:t>
      </w:r>
    </w:p>
    <w:p w14:paraId="4D3525CF" w14:textId="77777777" w:rsidR="00191570" w:rsidRDefault="00191570" w:rsidP="00191570">
      <w:pPr>
        <w:spacing w:line="276" w:lineRule="auto"/>
        <w:ind w:left="851"/>
      </w:pPr>
      <w:r w:rsidRPr="003529A1">
        <w:t xml:space="preserve">If the </w:t>
      </w:r>
      <w:r>
        <w:t>C</w:t>
      </w:r>
      <w:r w:rsidRPr="003529A1">
        <w:t xml:space="preserve">hair is of the view that a breach has occurred, he will arrange for the </w:t>
      </w:r>
      <w:r>
        <w:t>Commission</w:t>
      </w:r>
      <w:r w:rsidRPr="003529A1">
        <w:t xml:space="preserve"> to determine on an urgent basis, and record in the minutes, whether a breach has occurred. </w:t>
      </w:r>
    </w:p>
    <w:p w14:paraId="0AF8641F" w14:textId="69BB6671" w:rsidR="00191570" w:rsidRPr="003529A1" w:rsidRDefault="00191570" w:rsidP="00191570">
      <w:pPr>
        <w:spacing w:line="276" w:lineRule="auto"/>
        <w:ind w:left="851"/>
      </w:pPr>
      <w:r w:rsidRPr="003529A1">
        <w:t xml:space="preserve">If </w:t>
      </w:r>
      <w:r>
        <w:t xml:space="preserve">the Commission determines </w:t>
      </w:r>
      <w:r w:rsidRPr="003529A1">
        <w:t xml:space="preserve">a breach has occurred, the </w:t>
      </w:r>
      <w:r>
        <w:t>C</w:t>
      </w:r>
      <w:r w:rsidRPr="003529A1">
        <w:t>hair will notify</w:t>
      </w:r>
      <w:r>
        <w:t xml:space="preserve"> the Minister and </w:t>
      </w:r>
      <w:r w:rsidR="00E953C4">
        <w:t>the relevant Department Head</w:t>
      </w:r>
      <w:r>
        <w:t xml:space="preserve"> </w:t>
      </w:r>
      <w:r w:rsidRPr="003529A1">
        <w:t>in writing as soon as practicable, including whether the breach relates to a material conflict of interest.</w:t>
      </w:r>
      <w:r w:rsidRPr="003529A1">
        <w:rPr>
          <w:vertAlign w:val="superscript"/>
        </w:rPr>
        <w:footnoteReference w:id="6"/>
      </w:r>
      <w:r w:rsidRPr="003529A1">
        <w:rPr>
          <w:vertAlign w:val="superscript"/>
        </w:rPr>
        <w:t xml:space="preserve"> </w:t>
      </w:r>
      <w:r w:rsidR="0006584B">
        <w:rPr>
          <w:vertAlign w:val="superscript"/>
        </w:rPr>
        <w:t>.</w:t>
      </w:r>
    </w:p>
    <w:p w14:paraId="7625BEA4" w14:textId="72648B9D" w:rsidR="00191570" w:rsidRDefault="00191570" w:rsidP="00191570">
      <w:pPr>
        <w:spacing w:line="276" w:lineRule="auto"/>
        <w:ind w:left="851"/>
      </w:pPr>
      <w:r w:rsidRPr="003529A1">
        <w:t xml:space="preserve">A </w:t>
      </w:r>
      <w:r>
        <w:t>Commissioner</w:t>
      </w:r>
      <w:r w:rsidRPr="003529A1">
        <w:t xml:space="preserve"> who believes that another </w:t>
      </w:r>
      <w:r>
        <w:t>Commissioner</w:t>
      </w:r>
      <w:r w:rsidRPr="003529A1">
        <w:t xml:space="preserve"> may have breached this p</w:t>
      </w:r>
      <w:r>
        <w:t>olicy but not yet notified the C</w:t>
      </w:r>
      <w:r w:rsidRPr="003529A1">
        <w:t>hair will brin</w:t>
      </w:r>
      <w:r>
        <w:t>g this to the attention of the C</w:t>
      </w:r>
      <w:r w:rsidRPr="003529A1">
        <w:t xml:space="preserve">hair or will approach the other </w:t>
      </w:r>
      <w:r>
        <w:t>Commissioner</w:t>
      </w:r>
      <w:r w:rsidRPr="003529A1">
        <w:t>, who will then notif</w:t>
      </w:r>
      <w:r>
        <w:t>y the C</w:t>
      </w:r>
      <w:r w:rsidRPr="003529A1">
        <w:t>hair.</w:t>
      </w:r>
      <w:r w:rsidRPr="003529A1">
        <w:rPr>
          <w:vertAlign w:val="superscript"/>
        </w:rPr>
        <w:footnoteReference w:id="7"/>
      </w:r>
      <w:r w:rsidR="0006584B">
        <w:t>.</w:t>
      </w:r>
    </w:p>
    <w:p w14:paraId="14355D5C" w14:textId="77777777" w:rsidR="00B40731" w:rsidRDefault="00B40731" w:rsidP="00B40731"/>
    <w:p w14:paraId="21D82595" w14:textId="2BFCBB68" w:rsidR="00F90A18" w:rsidRPr="008C0AE8" w:rsidRDefault="00F90A18" w:rsidP="008C0AE8">
      <w:pPr>
        <w:spacing w:after="0"/>
      </w:pPr>
    </w:p>
    <w:sectPr w:rsidR="00F90A18" w:rsidRPr="008C0AE8" w:rsidSect="00914D79">
      <w:headerReference w:type="even" r:id="rId8"/>
      <w:headerReference w:type="default" r:id="rId9"/>
      <w:footerReference w:type="even" r:id="rId10"/>
      <w:footerReference w:type="default" r:id="rId11"/>
      <w:headerReference w:type="first" r:id="rId12"/>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07BF" w14:textId="77777777" w:rsidR="00937BF2" w:rsidRDefault="00937BF2" w:rsidP="00FF2500">
      <w:pPr>
        <w:spacing w:after="0"/>
      </w:pPr>
      <w:r>
        <w:separator/>
      </w:r>
    </w:p>
  </w:endnote>
  <w:endnote w:type="continuationSeparator" w:id="0">
    <w:p w14:paraId="0802E92F" w14:textId="77777777" w:rsidR="00937BF2" w:rsidRDefault="00937BF2"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A890" w14:textId="77777777" w:rsidR="00000000" w:rsidRDefault="00224E16" w:rsidP="00AB20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55EC5" w14:textId="77777777" w:rsidR="00000000" w:rsidRDefault="00000000"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51610EC2" w14:textId="77777777" w:rsidR="00AB208D" w:rsidRDefault="00AB208D" w:rsidP="00027F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38002D8" w14:textId="28754162" w:rsidR="00000000" w:rsidRPr="004465C0" w:rsidRDefault="00B64A51" w:rsidP="00F927B0">
    <w:pPr>
      <w:pStyle w:val="Footer"/>
      <w:ind w:right="360"/>
      <w:rPr>
        <w:lang w:val="en-AU"/>
      </w:rPr>
    </w:pPr>
    <w:r>
      <w:rPr>
        <w:lang w:val="en-AU"/>
      </w:rPr>
      <w:t>Disclosure of Interests Guidelines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634A" w14:textId="77777777" w:rsidR="00937BF2" w:rsidRDefault="00937BF2" w:rsidP="00FF2500">
      <w:pPr>
        <w:spacing w:after="0"/>
      </w:pPr>
      <w:r>
        <w:separator/>
      </w:r>
    </w:p>
  </w:footnote>
  <w:footnote w:type="continuationSeparator" w:id="0">
    <w:p w14:paraId="5C7CCBDD" w14:textId="77777777" w:rsidR="00937BF2" w:rsidRDefault="00937BF2" w:rsidP="00FF2500">
      <w:pPr>
        <w:spacing w:after="0"/>
      </w:pPr>
      <w:r>
        <w:continuationSeparator/>
      </w:r>
    </w:p>
  </w:footnote>
  <w:footnote w:id="1">
    <w:p w14:paraId="210FA16D" w14:textId="36C3481B" w:rsidR="00191570" w:rsidRDefault="00191570" w:rsidP="00191570">
      <w:pPr>
        <w:pStyle w:val="FootnoteText"/>
      </w:pPr>
      <w:r>
        <w:rPr>
          <w:rStyle w:val="FootnoteReference"/>
        </w:rPr>
        <w:footnoteRef/>
      </w:r>
      <w:r>
        <w:t xml:space="preserve"> Chair means the Chairperson under section 3 of the VGCCC Act</w:t>
      </w:r>
    </w:p>
  </w:footnote>
  <w:footnote w:id="2">
    <w:p w14:paraId="2E1975C5" w14:textId="0EE672B4" w:rsidR="004B0B1E" w:rsidRPr="00D13DC7" w:rsidRDefault="004B0B1E" w:rsidP="00D13DC7">
      <w:pPr>
        <w:pStyle w:val="FootnoteText"/>
        <w:rPr>
          <w:lang w:val="en-US"/>
        </w:rPr>
      </w:pPr>
      <w:r>
        <w:rPr>
          <w:rStyle w:val="FootnoteReference"/>
        </w:rPr>
        <w:footnoteRef/>
      </w:r>
      <w:r>
        <w:t xml:space="preserve"> </w:t>
      </w:r>
      <w:r>
        <w:rPr>
          <w:lang w:val="en-US"/>
        </w:rPr>
        <w:t xml:space="preserve">Under section 1.3 of the </w:t>
      </w:r>
      <w:r w:rsidRPr="00D13DC7">
        <w:rPr>
          <w:i/>
          <w:iCs/>
          <w:lang w:val="en-US"/>
        </w:rPr>
        <w:t xml:space="preserve">Gambling </w:t>
      </w:r>
      <w:r w:rsidR="00D13DC7" w:rsidRPr="00D13DC7">
        <w:rPr>
          <w:i/>
          <w:iCs/>
          <w:lang w:val="en-US"/>
        </w:rPr>
        <w:t>R</w:t>
      </w:r>
      <w:r w:rsidRPr="00D13DC7">
        <w:rPr>
          <w:i/>
          <w:iCs/>
          <w:lang w:val="en-US"/>
        </w:rPr>
        <w:t xml:space="preserve">egulation Act 2003 </w:t>
      </w:r>
      <w:r>
        <w:rPr>
          <w:lang w:val="en-US"/>
        </w:rPr>
        <w:t xml:space="preserve">key </w:t>
      </w:r>
      <w:r w:rsidR="00D13DC7">
        <w:rPr>
          <w:lang w:val="en-US"/>
        </w:rPr>
        <w:t xml:space="preserve">operative </w:t>
      </w:r>
      <w:r>
        <w:rPr>
          <w:lang w:val="en-US"/>
        </w:rPr>
        <w:t xml:space="preserve">is defined as </w:t>
      </w:r>
      <w:r w:rsidR="00D13DC7" w:rsidRPr="00D13DC7">
        <w:rPr>
          <w:lang w:val="en-US"/>
        </w:rPr>
        <w:t>the wagering and betting licensee</w:t>
      </w:r>
      <w:r w:rsidR="00D13DC7">
        <w:rPr>
          <w:lang w:val="en-US"/>
        </w:rPr>
        <w:t xml:space="preserve">, </w:t>
      </w:r>
      <w:r w:rsidR="00D13DC7" w:rsidRPr="00D13DC7">
        <w:rPr>
          <w:lang w:val="en-US"/>
        </w:rPr>
        <w:t>the holder of a venue operator's licence</w:t>
      </w:r>
      <w:r w:rsidR="00D13DC7">
        <w:rPr>
          <w:lang w:val="en-US"/>
        </w:rPr>
        <w:t xml:space="preserve">, </w:t>
      </w:r>
      <w:r w:rsidR="00D13DC7" w:rsidRPr="00D13DC7">
        <w:rPr>
          <w:lang w:val="en-US"/>
        </w:rPr>
        <w:t>a keno licensee</w:t>
      </w:r>
      <w:r w:rsidR="00D13DC7">
        <w:rPr>
          <w:lang w:val="en-US"/>
        </w:rPr>
        <w:t xml:space="preserve">, </w:t>
      </w:r>
      <w:r w:rsidR="00D13DC7" w:rsidRPr="00D13DC7">
        <w:rPr>
          <w:lang w:val="en-US"/>
        </w:rPr>
        <w:t>a person listed on the Roll</w:t>
      </w:r>
      <w:r w:rsidR="00D13DC7">
        <w:rPr>
          <w:lang w:val="en-US"/>
        </w:rPr>
        <w:t xml:space="preserve">, </w:t>
      </w:r>
      <w:r w:rsidR="00D13DC7" w:rsidRPr="00D13DC7">
        <w:rPr>
          <w:lang w:val="en-US"/>
        </w:rPr>
        <w:t>a casino operator</w:t>
      </w:r>
      <w:r w:rsidR="00D13DC7">
        <w:rPr>
          <w:lang w:val="en-US"/>
        </w:rPr>
        <w:t xml:space="preserve">, </w:t>
      </w:r>
      <w:r w:rsidR="00D13DC7" w:rsidRPr="00D13DC7">
        <w:rPr>
          <w:lang w:val="en-US"/>
        </w:rPr>
        <w:t>a holder of a public lotteries licence</w:t>
      </w:r>
      <w:r w:rsidR="00D13DC7">
        <w:rPr>
          <w:lang w:val="en-US"/>
        </w:rPr>
        <w:t xml:space="preserve">, </w:t>
      </w:r>
      <w:r w:rsidR="00D13DC7" w:rsidRPr="00D13DC7">
        <w:rPr>
          <w:lang w:val="en-US"/>
        </w:rPr>
        <w:t>a bingo centre operator</w:t>
      </w:r>
      <w:r w:rsidR="00D13DC7">
        <w:rPr>
          <w:lang w:val="en-US"/>
        </w:rPr>
        <w:t>.</w:t>
      </w:r>
    </w:p>
  </w:footnote>
  <w:footnote w:id="3">
    <w:p w14:paraId="6FB09236" w14:textId="55F90885" w:rsidR="00191570" w:rsidRDefault="00191570" w:rsidP="00191570">
      <w:pPr>
        <w:pStyle w:val="FootnoteText"/>
      </w:pPr>
      <w:r>
        <w:rPr>
          <w:rStyle w:val="FootnoteReference"/>
        </w:rPr>
        <w:footnoteRef/>
      </w:r>
      <w:r>
        <w:t xml:space="preserve"> The VGCCC has its own Disclosure of Private Interests form, as does the Department of Justice and Community Safety, with model forms provided by the Victorian Public Sector Commission and the Department of Premier and Cabinet - Appointment and Remuneration Guidelines for Victorian Government Boards Statutory Bodies and Advisory Committees.</w:t>
      </w:r>
    </w:p>
  </w:footnote>
  <w:footnote w:id="4">
    <w:p w14:paraId="63E6039F" w14:textId="77777777" w:rsidR="00191570" w:rsidRDefault="00191570" w:rsidP="00191570">
      <w:pPr>
        <w:pStyle w:val="FootnoteText"/>
      </w:pPr>
      <w:r>
        <w:rPr>
          <w:rStyle w:val="FootnoteReference"/>
        </w:rPr>
        <w:footnoteRef/>
      </w:r>
      <w:r>
        <w:t xml:space="preserve"> Section 81(1)(f) of the PA Act requires that the board determine whether a conflict of interest in a matter is material.</w:t>
      </w:r>
    </w:p>
  </w:footnote>
  <w:footnote w:id="5">
    <w:p w14:paraId="0A25DB15" w14:textId="77777777" w:rsidR="00191570" w:rsidRPr="00955419" w:rsidRDefault="00191570" w:rsidP="00191570">
      <w:pPr>
        <w:pStyle w:val="FootnoteText"/>
        <w:rPr>
          <w:color w:val="44546A"/>
        </w:rPr>
      </w:pPr>
      <w:r w:rsidRPr="00955419">
        <w:rPr>
          <w:rStyle w:val="FootnoteReference"/>
          <w:color w:val="44546A"/>
        </w:rPr>
        <w:footnoteRef/>
      </w:r>
      <w:r w:rsidRPr="00955419">
        <w:rPr>
          <w:color w:val="44546A"/>
        </w:rPr>
        <w:t xml:space="preserve"> If this is a common occurrence, the </w:t>
      </w:r>
      <w:r>
        <w:rPr>
          <w:color w:val="44546A"/>
        </w:rPr>
        <w:t>Department of Justice and Regulation</w:t>
      </w:r>
      <w:r w:rsidRPr="00955419">
        <w:rPr>
          <w:color w:val="44546A"/>
        </w:rPr>
        <w:t xml:space="preserve"> should be notified.  </w:t>
      </w:r>
    </w:p>
  </w:footnote>
  <w:footnote w:id="6">
    <w:p w14:paraId="695272D1" w14:textId="77777777" w:rsidR="00191570" w:rsidRPr="006E54AD" w:rsidRDefault="00191570" w:rsidP="00191570">
      <w:pPr>
        <w:pStyle w:val="FootnoteText"/>
        <w:rPr>
          <w:color w:val="44546A"/>
        </w:rPr>
      </w:pPr>
      <w:r w:rsidRPr="006E54AD">
        <w:rPr>
          <w:rStyle w:val="FootnoteReference"/>
          <w:color w:val="44546A"/>
        </w:rPr>
        <w:footnoteRef/>
      </w:r>
      <w:r w:rsidRPr="006E54AD">
        <w:rPr>
          <w:color w:val="44546A"/>
        </w:rPr>
        <w:t xml:space="preserve"> These requirements are consistent with s 81(1)(b) and (f) of the </w:t>
      </w:r>
      <w:r w:rsidRPr="006E54AD">
        <w:rPr>
          <w:i/>
          <w:color w:val="44546A"/>
        </w:rPr>
        <w:t>Public Administration Act 2004</w:t>
      </w:r>
      <w:r w:rsidRPr="006E54AD">
        <w:rPr>
          <w:color w:val="44546A"/>
        </w:rPr>
        <w:t>.</w:t>
      </w:r>
    </w:p>
  </w:footnote>
  <w:footnote w:id="7">
    <w:p w14:paraId="1B0BB2FD" w14:textId="77777777" w:rsidR="00191570" w:rsidRPr="006E54AD" w:rsidRDefault="00191570" w:rsidP="00191570">
      <w:pPr>
        <w:pStyle w:val="FootnoteText"/>
        <w:spacing w:before="40"/>
        <w:rPr>
          <w:color w:val="44546A"/>
        </w:rPr>
      </w:pPr>
      <w:r w:rsidRPr="006E54AD">
        <w:rPr>
          <w:rStyle w:val="FootnoteReference"/>
          <w:color w:val="44546A"/>
        </w:rPr>
        <w:footnoteRef/>
      </w:r>
      <w:r w:rsidRPr="006E54AD">
        <w:rPr>
          <w:color w:val="44546A"/>
        </w:rPr>
        <w:t xml:space="preserve"> If the matter con</w:t>
      </w:r>
      <w:r>
        <w:rPr>
          <w:color w:val="44546A"/>
        </w:rPr>
        <w:t>cerns a possible breach by the C</w:t>
      </w:r>
      <w:r w:rsidRPr="006E54AD">
        <w:rPr>
          <w:color w:val="44546A"/>
        </w:rPr>
        <w:t xml:space="preserve">hair, it should be brought to the attention of </w:t>
      </w:r>
      <w:r>
        <w:rPr>
          <w:color w:val="44546A"/>
        </w:rPr>
        <w:t>a D</w:t>
      </w:r>
      <w:r w:rsidRPr="006E54AD">
        <w:rPr>
          <w:color w:val="44546A"/>
        </w:rPr>
        <w:t xml:space="preserve">eputy </w:t>
      </w:r>
      <w:r>
        <w:rPr>
          <w:color w:val="44546A"/>
        </w:rPr>
        <w:t>Chair.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9446" w14:textId="4BE05AE2" w:rsidR="008C0AE8" w:rsidRDefault="008C0AE8">
    <w:pPr>
      <w:pStyle w:val="Header"/>
    </w:pPr>
    <w:r>
      <w:rPr>
        <w:noProof/>
      </w:rPr>
      <mc:AlternateContent>
        <mc:Choice Requires="wps">
          <w:drawing>
            <wp:anchor distT="0" distB="0" distL="0" distR="0" simplePos="0" relativeHeight="251664384" behindDoc="0" locked="0" layoutInCell="1" allowOverlap="1" wp14:anchorId="790B740E" wp14:editId="12D09A38">
              <wp:simplePos x="635" y="635"/>
              <wp:positionH relativeFrom="page">
                <wp:align>center</wp:align>
              </wp:positionH>
              <wp:positionV relativeFrom="page">
                <wp:align>top</wp:align>
              </wp:positionV>
              <wp:extent cx="443865" cy="443865"/>
              <wp:effectExtent l="0" t="0" r="16510" b="16510"/>
              <wp:wrapNone/>
              <wp:docPr id="7167089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EC08C" w14:textId="45FDC028"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0B740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90EC08C" w14:textId="45FDC028"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4AD" w14:textId="44C56067" w:rsidR="00CA5D76" w:rsidRDefault="008C0AE8" w:rsidP="009F7DD6">
    <w:pPr>
      <w:pStyle w:val="Header"/>
      <w:ind w:left="-851"/>
    </w:pPr>
    <w:r>
      <w:rPr>
        <w:noProof/>
      </w:rPr>
      <mc:AlternateContent>
        <mc:Choice Requires="wps">
          <w:drawing>
            <wp:anchor distT="0" distB="0" distL="0" distR="0" simplePos="0" relativeHeight="251665408" behindDoc="0" locked="0" layoutInCell="1" allowOverlap="1" wp14:anchorId="63103565" wp14:editId="1C2BDCD4">
              <wp:simplePos x="542925" y="447675"/>
              <wp:positionH relativeFrom="page">
                <wp:align>center</wp:align>
              </wp:positionH>
              <wp:positionV relativeFrom="page">
                <wp:align>top</wp:align>
              </wp:positionV>
              <wp:extent cx="443865" cy="443865"/>
              <wp:effectExtent l="0" t="0" r="16510" b="16510"/>
              <wp:wrapNone/>
              <wp:docPr id="137497478"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A5AD1" w14:textId="2C2AB53B"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103565"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156A5AD1" w14:textId="2C2AB53B"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v:textbox>
              <w10:wrap anchorx="page" anchory="page"/>
            </v:shape>
          </w:pict>
        </mc:Fallback>
      </mc:AlternateContent>
    </w:r>
    <w:r w:rsidR="00C728CE">
      <w:rPr>
        <w:noProof/>
      </w:rPr>
      <w:drawing>
        <wp:anchor distT="0" distB="0" distL="114300" distR="114300" simplePos="0" relativeHeight="251662336" behindDoc="1" locked="0" layoutInCell="1" allowOverlap="0" wp14:anchorId="0B6E4A36" wp14:editId="2121BD21">
          <wp:simplePos x="0" y="0"/>
          <wp:positionH relativeFrom="column">
            <wp:posOffset>-540385</wp:posOffset>
          </wp:positionH>
          <wp:positionV relativeFrom="page">
            <wp:posOffset>9728</wp:posOffset>
          </wp:positionV>
          <wp:extent cx="7560000" cy="8640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10B4" w14:textId="056833F2" w:rsidR="00BC36F0" w:rsidRDefault="008C0AE8" w:rsidP="00BC36F0">
    <w:pPr>
      <w:pStyle w:val="Header"/>
      <w:tabs>
        <w:tab w:val="clear" w:pos="9026"/>
      </w:tabs>
      <w:ind w:left="-851" w:right="-851"/>
    </w:pPr>
    <w:r>
      <w:rPr>
        <w:noProof/>
      </w:rPr>
      <mc:AlternateContent>
        <mc:Choice Requires="wps">
          <w:drawing>
            <wp:anchor distT="0" distB="0" distL="0" distR="0" simplePos="0" relativeHeight="251663360" behindDoc="0" locked="0" layoutInCell="1" allowOverlap="1" wp14:anchorId="099D801E" wp14:editId="487876E2">
              <wp:simplePos x="541020" y="450850"/>
              <wp:positionH relativeFrom="page">
                <wp:align>center</wp:align>
              </wp:positionH>
              <wp:positionV relativeFrom="page">
                <wp:align>top</wp:align>
              </wp:positionV>
              <wp:extent cx="443865" cy="443865"/>
              <wp:effectExtent l="0" t="0" r="16510" b="16510"/>
              <wp:wrapNone/>
              <wp:docPr id="2020685547"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60838" w14:textId="4EB613D3"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9D801E"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9460838" w14:textId="4EB613D3" w:rsidR="008C0AE8" w:rsidRPr="008C0AE8" w:rsidRDefault="008C0AE8" w:rsidP="008C0AE8">
                    <w:pPr>
                      <w:spacing w:after="0"/>
                      <w:rPr>
                        <w:rFonts w:ascii="Calibri" w:eastAsia="Calibri" w:hAnsi="Calibri" w:cs="Calibri"/>
                        <w:noProof/>
                        <w:color w:val="000000"/>
                        <w:szCs w:val="20"/>
                      </w:rPr>
                    </w:pPr>
                    <w:r w:rsidRPr="008C0AE8">
                      <w:rPr>
                        <w:rFonts w:ascii="Calibri" w:eastAsia="Calibri" w:hAnsi="Calibri" w:cs="Calibri"/>
                        <w:noProof/>
                        <w:color w:val="000000"/>
                        <w:szCs w:val="20"/>
                      </w:rPr>
                      <w:t>OFFICIAL</w:t>
                    </w:r>
                  </w:p>
                </w:txbxContent>
              </v:textbox>
              <w10:wrap anchorx="page" anchory="page"/>
            </v:shape>
          </w:pict>
        </mc:Fallback>
      </mc:AlternateContent>
    </w:r>
    <w:r w:rsidR="00215427">
      <w:rPr>
        <w:noProof/>
      </w:rPr>
      <w:drawing>
        <wp:anchor distT="0" distB="0" distL="114300" distR="114300" simplePos="0" relativeHeight="251659264" behindDoc="1" locked="0" layoutInCell="1" allowOverlap="1" wp14:anchorId="266167B7" wp14:editId="01D4B153">
          <wp:simplePos x="0" y="0"/>
          <wp:positionH relativeFrom="column">
            <wp:posOffset>-540385</wp:posOffset>
          </wp:positionH>
          <wp:positionV relativeFrom="page">
            <wp:posOffset>0</wp:posOffset>
          </wp:positionV>
          <wp:extent cx="7560000" cy="10698352"/>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61B60"/>
    <w:multiLevelType w:val="multilevel"/>
    <w:tmpl w:val="13FAE11C"/>
    <w:styleLink w:val="CurrentList15"/>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74FF7"/>
    <w:multiLevelType w:val="hybridMultilevel"/>
    <w:tmpl w:val="ECB20B70"/>
    <w:lvl w:ilvl="0" w:tplc="04090001">
      <w:start w:val="1"/>
      <w:numFmt w:val="bullet"/>
      <w:lvlText w:val=""/>
      <w:lvlJc w:val="left"/>
      <w:pPr>
        <w:tabs>
          <w:tab w:val="num" w:pos="1145"/>
        </w:tabs>
        <w:ind w:left="1145" w:hanging="360"/>
      </w:pPr>
      <w:rPr>
        <w:rFonts w:ascii="Symbol"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08BF4154"/>
    <w:multiLevelType w:val="multilevel"/>
    <w:tmpl w:val="EAA2D4A6"/>
    <w:styleLink w:val="CurrentList17"/>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0E632740"/>
    <w:multiLevelType w:val="hybridMultilevel"/>
    <w:tmpl w:val="D246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E5F45"/>
    <w:multiLevelType w:val="hybridMultilevel"/>
    <w:tmpl w:val="69C40E60"/>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7"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4066B0"/>
    <w:multiLevelType w:val="multilevel"/>
    <w:tmpl w:val="EA4E3804"/>
    <w:styleLink w:val="CurrentList24"/>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0" w15:restartNumberingAfterBreak="0">
    <w:nsid w:val="1FC4526D"/>
    <w:multiLevelType w:val="hybridMultilevel"/>
    <w:tmpl w:val="C2107524"/>
    <w:lvl w:ilvl="0" w:tplc="04090001">
      <w:start w:val="1"/>
      <w:numFmt w:val="bullet"/>
      <w:lvlText w:val=""/>
      <w:lvlJc w:val="left"/>
      <w:pPr>
        <w:tabs>
          <w:tab w:val="num" w:pos="1154"/>
        </w:tabs>
        <w:ind w:left="115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D69AB"/>
    <w:multiLevelType w:val="multilevel"/>
    <w:tmpl w:val="1F66099E"/>
    <w:lvl w:ilvl="0">
      <w:start w:val="1"/>
      <w:numFmt w:val="decimal"/>
      <w:pStyle w:val="Heading1"/>
      <w:lvlText w:val="%1"/>
      <w:lvlJc w:val="left"/>
      <w:pPr>
        <w:ind w:left="1844"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6280FE2"/>
    <w:multiLevelType w:val="hybridMultilevel"/>
    <w:tmpl w:val="F7760EB0"/>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14"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9F55185"/>
    <w:multiLevelType w:val="multilevel"/>
    <w:tmpl w:val="CAACB2F8"/>
    <w:lvl w:ilvl="0">
      <w:start w:val="1"/>
      <w:numFmt w:val="decimal"/>
      <w:pStyle w:val="NumberedList11"/>
      <w:lvlText w:val="%1."/>
      <w:lvlJc w:val="left"/>
      <w:pPr>
        <w:ind w:left="284" w:hanging="567"/>
      </w:pPr>
      <w:rPr>
        <w:rFonts w:hint="default"/>
      </w:rPr>
    </w:lvl>
    <w:lvl w:ilvl="1">
      <w:start w:val="1"/>
      <w:numFmt w:val="decimal"/>
      <w:pStyle w:val="NumberedList11"/>
      <w:lvlText w:val="%1.%2."/>
      <w:lvlJc w:val="left"/>
      <w:pPr>
        <w:ind w:left="567" w:hanging="283"/>
      </w:pPr>
      <w:rPr>
        <w:rFonts w:hint="default"/>
      </w:rPr>
    </w:lvl>
    <w:lvl w:ilvl="2">
      <w:start w:val="1"/>
      <w:numFmt w:val="decimal"/>
      <w:pStyle w:val="NumberedList111"/>
      <w:lvlText w:val="%1.%2.%3."/>
      <w:lvlJc w:val="left"/>
      <w:pPr>
        <w:ind w:left="1418" w:hanging="567"/>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D45C2"/>
    <w:multiLevelType w:val="multilevel"/>
    <w:tmpl w:val="2ABCC374"/>
    <w:styleLink w:val="CurrentList20"/>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9B2156"/>
    <w:multiLevelType w:val="singleLevel"/>
    <w:tmpl w:val="630E9578"/>
    <w:lvl w:ilvl="0">
      <w:start w:val="1"/>
      <w:numFmt w:val="bullet"/>
      <w:pStyle w:val="BodyText-Bulletlist"/>
      <w:lvlText w:val=""/>
      <w:lvlJc w:val="left"/>
      <w:pPr>
        <w:tabs>
          <w:tab w:val="num" w:pos="1190"/>
        </w:tabs>
        <w:ind w:left="1190" w:hanging="396"/>
      </w:pPr>
      <w:rPr>
        <w:rFonts w:ascii="Symbol" w:hAnsi="Symbol" w:hint="default"/>
        <w:color w:val="auto"/>
        <w:sz w:val="18"/>
      </w:rPr>
    </w:lvl>
  </w:abstractNum>
  <w:abstractNum w:abstractNumId="19"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27E4BCB"/>
    <w:multiLevelType w:val="hybridMultilevel"/>
    <w:tmpl w:val="FB0457AC"/>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21" w15:restartNumberingAfterBreak="0">
    <w:nsid w:val="35232B2C"/>
    <w:multiLevelType w:val="hybridMultilevel"/>
    <w:tmpl w:val="040215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035DE"/>
    <w:multiLevelType w:val="hybridMultilevel"/>
    <w:tmpl w:val="7582666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4"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E95FE0"/>
    <w:multiLevelType w:val="multilevel"/>
    <w:tmpl w:val="16368E38"/>
    <w:styleLink w:val="CurrentList21"/>
    <w:lvl w:ilvl="0">
      <w:start w:val="1"/>
      <w:numFmt w:val="lowerRoman"/>
      <w:lvlText w:val="%1."/>
      <w:lvlJc w:val="left"/>
      <w:pPr>
        <w:ind w:left="907"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8A1EE9"/>
    <w:multiLevelType w:val="multilevel"/>
    <w:tmpl w:val="C6D6B738"/>
    <w:styleLink w:val="CurrentList16"/>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CC48EB"/>
    <w:multiLevelType w:val="hybridMultilevel"/>
    <w:tmpl w:val="489AA4D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8"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C5B7132"/>
    <w:multiLevelType w:val="hybridMultilevel"/>
    <w:tmpl w:val="CC8CD12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0"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0D9644D"/>
    <w:multiLevelType w:val="hybridMultilevel"/>
    <w:tmpl w:val="4C3AB4B2"/>
    <w:lvl w:ilvl="0" w:tplc="9E22E846">
      <w:start w:val="1"/>
      <w:numFmt w:val="lowerRoman"/>
      <w:pStyle w:val="List-romannumberL3"/>
      <w:lvlText w:val="%1."/>
      <w:lvlJc w:val="left"/>
      <w:pPr>
        <w:ind w:left="851"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92AD5"/>
    <w:multiLevelType w:val="hybridMultilevel"/>
    <w:tmpl w:val="F1700080"/>
    <w:lvl w:ilvl="0" w:tplc="04090001">
      <w:start w:val="1"/>
      <w:numFmt w:val="bullet"/>
      <w:lvlText w:val=""/>
      <w:lvlJc w:val="left"/>
      <w:pPr>
        <w:tabs>
          <w:tab w:val="num" w:pos="1154"/>
        </w:tabs>
        <w:ind w:left="115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231F13"/>
    <w:multiLevelType w:val="multilevel"/>
    <w:tmpl w:val="A112D0A4"/>
    <w:styleLink w:val="CurrentList19"/>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2077FB"/>
    <w:multiLevelType w:val="multilevel"/>
    <w:tmpl w:val="AEAA5142"/>
    <w:styleLink w:val="CurrentList18"/>
    <w:lvl w:ilvl="0">
      <w:start w:val="1"/>
      <w:numFmt w:val="decimal"/>
      <w:lvlText w:val="%1."/>
      <w:lvlJc w:val="left"/>
      <w:pPr>
        <w:ind w:left="567" w:hanging="567"/>
      </w:pPr>
      <w:rPr>
        <w:rFonts w:hint="default"/>
      </w:rPr>
    </w:lvl>
    <w:lvl w:ilvl="1">
      <w:start w:val="1"/>
      <w:numFmt w:val="decimal"/>
      <w:lvlText w:val="%1.%2."/>
      <w:lvlJc w:val="left"/>
      <w:pPr>
        <w:ind w:left="1134" w:hanging="283"/>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686764"/>
    <w:multiLevelType w:val="hybridMultilevel"/>
    <w:tmpl w:val="4EC2DD2A"/>
    <w:lvl w:ilvl="0" w:tplc="03ECE14A">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643C0"/>
    <w:multiLevelType w:val="hybridMultilevel"/>
    <w:tmpl w:val="D1FC31EA"/>
    <w:lvl w:ilvl="0" w:tplc="5B44C44C">
      <w:start w:val="1"/>
      <w:numFmt w:val="bullet"/>
      <w:lvlText w:val=""/>
      <w:lvlJc w:val="left"/>
      <w:pPr>
        <w:tabs>
          <w:tab w:val="num" w:pos="1267"/>
        </w:tabs>
        <w:ind w:left="1267" w:hanging="360"/>
      </w:pPr>
      <w:rPr>
        <w:rFonts w:ascii="Symbol" w:hAnsi="Symbol" w:hint="default"/>
        <w:sz w:val="20"/>
        <w:szCs w:val="20"/>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8F78C6"/>
    <w:multiLevelType w:val="hybridMultilevel"/>
    <w:tmpl w:val="397E0D4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2" w15:restartNumberingAfterBreak="0">
    <w:nsid w:val="66E23A01"/>
    <w:multiLevelType w:val="hybridMultilevel"/>
    <w:tmpl w:val="E1925370"/>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3"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10423A"/>
    <w:multiLevelType w:val="hybridMultilevel"/>
    <w:tmpl w:val="E7147586"/>
    <w:lvl w:ilvl="0" w:tplc="04090001">
      <w:start w:val="1"/>
      <w:numFmt w:val="bullet"/>
      <w:lvlText w:val=""/>
      <w:lvlJc w:val="left"/>
      <w:pPr>
        <w:tabs>
          <w:tab w:val="num" w:pos="1154"/>
        </w:tabs>
        <w:ind w:left="1154" w:hanging="360"/>
      </w:pPr>
      <w:rPr>
        <w:rFonts w:ascii="Symbol" w:hAnsi="Symbol" w:hint="default"/>
      </w:rPr>
    </w:lvl>
    <w:lvl w:ilvl="1" w:tplc="04090003" w:tentative="1">
      <w:start w:val="1"/>
      <w:numFmt w:val="bullet"/>
      <w:lvlText w:val="o"/>
      <w:lvlJc w:val="left"/>
      <w:pPr>
        <w:tabs>
          <w:tab w:val="num" w:pos="1874"/>
        </w:tabs>
        <w:ind w:left="1874" w:hanging="360"/>
      </w:pPr>
      <w:rPr>
        <w:rFonts w:ascii="Courier New" w:hAnsi="Courier New" w:cs="Courier New" w:hint="default"/>
      </w:rPr>
    </w:lvl>
    <w:lvl w:ilvl="2" w:tplc="04090005" w:tentative="1">
      <w:start w:val="1"/>
      <w:numFmt w:val="bullet"/>
      <w:lvlText w:val=""/>
      <w:lvlJc w:val="left"/>
      <w:pPr>
        <w:tabs>
          <w:tab w:val="num" w:pos="2594"/>
        </w:tabs>
        <w:ind w:left="2594" w:hanging="360"/>
      </w:pPr>
      <w:rPr>
        <w:rFonts w:ascii="Wingdings" w:hAnsi="Wingdings" w:hint="default"/>
      </w:rPr>
    </w:lvl>
    <w:lvl w:ilvl="3" w:tplc="04090001" w:tentative="1">
      <w:start w:val="1"/>
      <w:numFmt w:val="bullet"/>
      <w:lvlText w:val=""/>
      <w:lvlJc w:val="left"/>
      <w:pPr>
        <w:tabs>
          <w:tab w:val="num" w:pos="3314"/>
        </w:tabs>
        <w:ind w:left="3314" w:hanging="360"/>
      </w:pPr>
      <w:rPr>
        <w:rFonts w:ascii="Symbol" w:hAnsi="Symbol" w:hint="default"/>
      </w:rPr>
    </w:lvl>
    <w:lvl w:ilvl="4" w:tplc="04090003" w:tentative="1">
      <w:start w:val="1"/>
      <w:numFmt w:val="bullet"/>
      <w:lvlText w:val="o"/>
      <w:lvlJc w:val="left"/>
      <w:pPr>
        <w:tabs>
          <w:tab w:val="num" w:pos="4034"/>
        </w:tabs>
        <w:ind w:left="4034" w:hanging="360"/>
      </w:pPr>
      <w:rPr>
        <w:rFonts w:ascii="Courier New" w:hAnsi="Courier New" w:cs="Courier New" w:hint="default"/>
      </w:rPr>
    </w:lvl>
    <w:lvl w:ilvl="5" w:tplc="04090005" w:tentative="1">
      <w:start w:val="1"/>
      <w:numFmt w:val="bullet"/>
      <w:lvlText w:val=""/>
      <w:lvlJc w:val="left"/>
      <w:pPr>
        <w:tabs>
          <w:tab w:val="num" w:pos="4754"/>
        </w:tabs>
        <w:ind w:left="4754" w:hanging="360"/>
      </w:pPr>
      <w:rPr>
        <w:rFonts w:ascii="Wingdings" w:hAnsi="Wingdings" w:hint="default"/>
      </w:rPr>
    </w:lvl>
    <w:lvl w:ilvl="6" w:tplc="04090001" w:tentative="1">
      <w:start w:val="1"/>
      <w:numFmt w:val="bullet"/>
      <w:lvlText w:val=""/>
      <w:lvlJc w:val="left"/>
      <w:pPr>
        <w:tabs>
          <w:tab w:val="num" w:pos="5474"/>
        </w:tabs>
        <w:ind w:left="5474" w:hanging="360"/>
      </w:pPr>
      <w:rPr>
        <w:rFonts w:ascii="Symbol" w:hAnsi="Symbol" w:hint="default"/>
      </w:rPr>
    </w:lvl>
    <w:lvl w:ilvl="7" w:tplc="04090003" w:tentative="1">
      <w:start w:val="1"/>
      <w:numFmt w:val="bullet"/>
      <w:lvlText w:val="o"/>
      <w:lvlJc w:val="left"/>
      <w:pPr>
        <w:tabs>
          <w:tab w:val="num" w:pos="6194"/>
        </w:tabs>
        <w:ind w:left="6194" w:hanging="360"/>
      </w:pPr>
      <w:rPr>
        <w:rFonts w:ascii="Courier New" w:hAnsi="Courier New" w:cs="Courier New" w:hint="default"/>
      </w:rPr>
    </w:lvl>
    <w:lvl w:ilvl="8" w:tplc="04090005" w:tentative="1">
      <w:start w:val="1"/>
      <w:numFmt w:val="bullet"/>
      <w:lvlText w:val=""/>
      <w:lvlJc w:val="left"/>
      <w:pPr>
        <w:tabs>
          <w:tab w:val="num" w:pos="6914"/>
        </w:tabs>
        <w:ind w:left="6914" w:hanging="360"/>
      </w:pPr>
      <w:rPr>
        <w:rFonts w:ascii="Wingdings" w:hAnsi="Wingdings" w:hint="default"/>
      </w:rPr>
    </w:lvl>
  </w:abstractNum>
  <w:abstractNum w:abstractNumId="46" w15:restartNumberingAfterBreak="0">
    <w:nsid w:val="6E2F614C"/>
    <w:multiLevelType w:val="multilevel"/>
    <w:tmpl w:val="1F66099E"/>
    <w:styleLink w:val="CurrentList1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08437BA"/>
    <w:multiLevelType w:val="hybridMultilevel"/>
    <w:tmpl w:val="21DAEBE6"/>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48"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0C92410"/>
    <w:multiLevelType w:val="multilevel"/>
    <w:tmpl w:val="E4F2B134"/>
    <w:lvl w:ilvl="0">
      <w:start w:val="1"/>
      <w:numFmt w:val="decimal"/>
      <w:pStyle w:val="Numberedlist1"/>
      <w:lvlText w:val="%1."/>
      <w:lvlJc w:val="left"/>
      <w:pPr>
        <w:ind w:left="284" w:hanging="284"/>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6393400"/>
    <w:multiLevelType w:val="multilevel"/>
    <w:tmpl w:val="14320A96"/>
    <w:lvl w:ilvl="0">
      <w:start w:val="1"/>
      <w:numFmt w:val="decimal"/>
      <w:lvlRestart w:val="0"/>
      <w:pStyle w:val="BodyText-NumberedList1"/>
      <w:lvlText w:val="%1."/>
      <w:lvlJc w:val="left"/>
      <w:pPr>
        <w:tabs>
          <w:tab w:val="num" w:pos="567"/>
        </w:tabs>
        <w:ind w:left="567" w:hanging="567"/>
      </w:pPr>
      <w:rPr>
        <w:rFonts w:ascii="Arial" w:hAnsi="Arial" w:hint="default"/>
      </w:rPr>
    </w:lvl>
    <w:lvl w:ilvl="1">
      <w:start w:val="1"/>
      <w:numFmt w:val="lowerLetter"/>
      <w:pStyle w:val="BodyText-NumberedLista"/>
      <w:lvlText w:val="%2."/>
      <w:lvlJc w:val="left"/>
      <w:pPr>
        <w:ind w:left="1134" w:hanging="567"/>
      </w:pPr>
      <w:rPr>
        <w:rFonts w:ascii="Arial" w:hAnsi="Arial" w:hint="default"/>
      </w:rPr>
    </w:lvl>
    <w:lvl w:ilvl="2">
      <w:start w:val="1"/>
      <w:numFmt w:val="lowerRoman"/>
      <w:pStyle w:val="BodyText-NumberedListi"/>
      <w:lvlText w:val="%3."/>
      <w:lvlJc w:val="left"/>
      <w:pPr>
        <w:ind w:left="1701" w:hanging="567"/>
      </w:pPr>
      <w:rPr>
        <w:rFonts w:ascii="Arial" w:hAnsi="Arial" w:hint="default"/>
      </w:rPr>
    </w:lvl>
    <w:lvl w:ilvl="3">
      <w:start w:val="1"/>
      <w:numFmt w:val="decimal"/>
      <w:lvlText w:val="(%4)"/>
      <w:lvlJc w:val="left"/>
      <w:pPr>
        <w:tabs>
          <w:tab w:val="num" w:pos="2211"/>
        </w:tabs>
        <w:ind w:left="2211" w:hanging="567"/>
      </w:pPr>
      <w:rPr>
        <w:rFonts w:ascii="Verdana" w:hAnsi="Verdana" w:hint="default"/>
      </w:rPr>
    </w:lvl>
    <w:lvl w:ilvl="4">
      <w:start w:val="1"/>
      <w:numFmt w:val="decimal"/>
      <w:lvlText w:val="%1.%2.%3.%4.%5."/>
      <w:lvlJc w:val="left"/>
      <w:pPr>
        <w:tabs>
          <w:tab w:val="num" w:pos="2290"/>
        </w:tabs>
        <w:ind w:left="2290" w:hanging="794"/>
      </w:pPr>
      <w:rPr>
        <w:rFonts w:ascii="Verdana" w:hAnsi="Verdana" w:hint="default"/>
      </w:rPr>
    </w:lvl>
    <w:lvl w:ilvl="5">
      <w:start w:val="1"/>
      <w:numFmt w:val="decimal"/>
      <w:lvlText w:val="%1.%2.%3.%4.%5.%6."/>
      <w:lvlJc w:val="left"/>
      <w:pPr>
        <w:tabs>
          <w:tab w:val="num" w:pos="2795"/>
        </w:tabs>
        <w:ind w:left="2795" w:hanging="936"/>
      </w:pPr>
      <w:rPr>
        <w:rFonts w:ascii="Verdana" w:hAnsi="Verdana" w:hint="default"/>
      </w:rPr>
    </w:lvl>
    <w:lvl w:ilvl="6">
      <w:start w:val="1"/>
      <w:numFmt w:val="decimal"/>
      <w:lvlText w:val="%1.%2.%3.%4.%5.%6.%7."/>
      <w:lvlJc w:val="left"/>
      <w:pPr>
        <w:tabs>
          <w:tab w:val="num" w:pos="3299"/>
        </w:tabs>
        <w:ind w:left="3299" w:hanging="1083"/>
      </w:pPr>
      <w:rPr>
        <w:rFonts w:ascii="Verdana" w:hAnsi="Verdana" w:hint="default"/>
      </w:rPr>
    </w:lvl>
    <w:lvl w:ilvl="7">
      <w:start w:val="1"/>
      <w:numFmt w:val="decimal"/>
      <w:lvlText w:val="%1.%2.%3.%4.%5.%6.%7.%8."/>
      <w:lvlJc w:val="left"/>
      <w:pPr>
        <w:tabs>
          <w:tab w:val="num" w:pos="3798"/>
        </w:tabs>
        <w:ind w:left="3798" w:hanging="1219"/>
      </w:pPr>
      <w:rPr>
        <w:rFonts w:ascii="Verdana" w:hAnsi="Verdana" w:hint="default"/>
      </w:rPr>
    </w:lvl>
    <w:lvl w:ilvl="8">
      <w:start w:val="1"/>
      <w:numFmt w:val="decimal"/>
      <w:lvlText w:val="%1.%2.%3.%4.%5.%6.%7.%8.%9."/>
      <w:lvlJc w:val="left"/>
      <w:pPr>
        <w:tabs>
          <w:tab w:val="num" w:pos="4376"/>
        </w:tabs>
        <w:ind w:left="4376" w:hanging="1440"/>
      </w:pPr>
      <w:rPr>
        <w:rFonts w:ascii="Verdana" w:hAnsi="Verdana" w:hint="default"/>
      </w:rPr>
    </w:lvl>
  </w:abstractNum>
  <w:abstractNum w:abstractNumId="51" w15:restartNumberingAfterBreak="0">
    <w:nsid w:val="785776B0"/>
    <w:multiLevelType w:val="multilevel"/>
    <w:tmpl w:val="41863E80"/>
    <w:styleLink w:val="CurrentList22"/>
    <w:lvl w:ilvl="0">
      <w:start w:val="1"/>
      <w:numFmt w:val="decimal"/>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2" w15:restartNumberingAfterBreak="0">
    <w:nsid w:val="798B1B8C"/>
    <w:multiLevelType w:val="hybridMultilevel"/>
    <w:tmpl w:val="26F61B4C"/>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53" w15:restartNumberingAfterBreak="0">
    <w:nsid w:val="7A8F0321"/>
    <w:multiLevelType w:val="hybridMultilevel"/>
    <w:tmpl w:val="64101320"/>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54" w15:restartNumberingAfterBreak="0">
    <w:nsid w:val="7DC71D68"/>
    <w:multiLevelType w:val="multilevel"/>
    <w:tmpl w:val="9948CF7C"/>
    <w:styleLink w:val="CurrentList23"/>
    <w:lvl w:ilvl="0">
      <w:start w:val="1"/>
      <w:numFmt w:val="decimal"/>
      <w:lvlText w:val="%1."/>
      <w:lvlJc w:val="left"/>
      <w:pPr>
        <w:ind w:left="284"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134" w:hanging="283"/>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55"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56" w15:restartNumberingAfterBreak="0">
    <w:nsid w:val="7E8057F7"/>
    <w:multiLevelType w:val="hybridMultilevel"/>
    <w:tmpl w:val="E14A581A"/>
    <w:lvl w:ilvl="0" w:tplc="04090001">
      <w:start w:val="1"/>
      <w:numFmt w:val="bullet"/>
      <w:lvlText w:val=""/>
      <w:lvlJc w:val="left"/>
      <w:pPr>
        <w:tabs>
          <w:tab w:val="num" w:pos="1154"/>
        </w:tabs>
        <w:ind w:left="115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735991">
    <w:abstractNumId w:val="22"/>
  </w:num>
  <w:num w:numId="2" w16cid:durableId="1469127933">
    <w:abstractNumId w:val="40"/>
  </w:num>
  <w:num w:numId="3" w16cid:durableId="83427620">
    <w:abstractNumId w:val="16"/>
  </w:num>
  <w:num w:numId="4" w16cid:durableId="809975934">
    <w:abstractNumId w:val="8"/>
  </w:num>
  <w:num w:numId="5" w16cid:durableId="339235386">
    <w:abstractNumId w:val="11"/>
  </w:num>
  <w:num w:numId="6" w16cid:durableId="1970084379">
    <w:abstractNumId w:val="7"/>
  </w:num>
  <w:num w:numId="7" w16cid:durableId="1361320227">
    <w:abstractNumId w:val="24"/>
  </w:num>
  <w:num w:numId="8" w16cid:durableId="2142652784">
    <w:abstractNumId w:val="44"/>
  </w:num>
  <w:num w:numId="9" w16cid:durableId="1717075742">
    <w:abstractNumId w:val="32"/>
  </w:num>
  <w:num w:numId="10" w16cid:durableId="2058117807">
    <w:abstractNumId w:val="35"/>
  </w:num>
  <w:num w:numId="11" w16cid:durableId="615019149">
    <w:abstractNumId w:val="37"/>
  </w:num>
  <w:num w:numId="12" w16cid:durableId="874196981">
    <w:abstractNumId w:val="4"/>
  </w:num>
  <w:num w:numId="13" w16cid:durableId="1415397488">
    <w:abstractNumId w:val="30"/>
  </w:num>
  <w:num w:numId="14" w16cid:durableId="862938156">
    <w:abstractNumId w:val="12"/>
  </w:num>
  <w:num w:numId="15" w16cid:durableId="965816272">
    <w:abstractNumId w:val="14"/>
  </w:num>
  <w:num w:numId="16" w16cid:durableId="918826829">
    <w:abstractNumId w:val="43"/>
  </w:num>
  <w:num w:numId="17" w16cid:durableId="927886635">
    <w:abstractNumId w:val="28"/>
  </w:num>
  <w:num w:numId="18" w16cid:durableId="1628507607">
    <w:abstractNumId w:val="19"/>
  </w:num>
  <w:num w:numId="19" w16cid:durableId="1843273813">
    <w:abstractNumId w:val="31"/>
  </w:num>
  <w:num w:numId="20" w16cid:durableId="799954701">
    <w:abstractNumId w:val="48"/>
  </w:num>
  <w:num w:numId="21" w16cid:durableId="2115444444">
    <w:abstractNumId w:val="55"/>
  </w:num>
  <w:num w:numId="22" w16cid:durableId="1050229227">
    <w:abstractNumId w:val="50"/>
  </w:num>
  <w:num w:numId="23" w16cid:durableId="173426343">
    <w:abstractNumId w:val="49"/>
  </w:num>
  <w:num w:numId="24" w16cid:durableId="736437853">
    <w:abstractNumId w:val="46"/>
  </w:num>
  <w:num w:numId="25" w16cid:durableId="413431172">
    <w:abstractNumId w:val="1"/>
  </w:num>
  <w:num w:numId="26" w16cid:durableId="405495399">
    <w:abstractNumId w:val="15"/>
  </w:num>
  <w:num w:numId="27" w16cid:durableId="1780444414">
    <w:abstractNumId w:val="26"/>
  </w:num>
  <w:num w:numId="28" w16cid:durableId="2144342146">
    <w:abstractNumId w:val="3"/>
  </w:num>
  <w:num w:numId="29" w16cid:durableId="1965383282">
    <w:abstractNumId w:val="36"/>
  </w:num>
  <w:num w:numId="30" w16cid:durableId="1822261180">
    <w:abstractNumId w:val="34"/>
  </w:num>
  <w:num w:numId="31" w16cid:durableId="1532035508">
    <w:abstractNumId w:val="17"/>
  </w:num>
  <w:num w:numId="32" w16cid:durableId="1203904135">
    <w:abstractNumId w:val="25"/>
  </w:num>
  <w:num w:numId="33" w16cid:durableId="192884078">
    <w:abstractNumId w:val="51"/>
  </w:num>
  <w:num w:numId="34" w16cid:durableId="1102719849">
    <w:abstractNumId w:val="54"/>
  </w:num>
  <w:num w:numId="35" w16cid:durableId="1952322686">
    <w:abstractNumId w:val="9"/>
  </w:num>
  <w:num w:numId="36" w16cid:durableId="1977568720">
    <w:abstractNumId w:val="18"/>
  </w:num>
  <w:num w:numId="37" w16cid:durableId="976766230">
    <w:abstractNumId w:val="38"/>
  </w:num>
  <w:num w:numId="38" w16cid:durableId="531042162">
    <w:abstractNumId w:val="0"/>
  </w:num>
  <w:num w:numId="39" w16cid:durableId="1941599098">
    <w:abstractNumId w:val="45"/>
  </w:num>
  <w:num w:numId="40" w16cid:durableId="1087535728">
    <w:abstractNumId w:val="20"/>
  </w:num>
  <w:num w:numId="41" w16cid:durableId="1729692789">
    <w:abstractNumId w:val="21"/>
  </w:num>
  <w:num w:numId="42" w16cid:durableId="1471050710">
    <w:abstractNumId w:val="5"/>
  </w:num>
  <w:num w:numId="43" w16cid:durableId="1055663539">
    <w:abstractNumId w:val="41"/>
  </w:num>
  <w:num w:numId="44" w16cid:durableId="2019965842">
    <w:abstractNumId w:val="53"/>
  </w:num>
  <w:num w:numId="45" w16cid:durableId="892623404">
    <w:abstractNumId w:val="42"/>
  </w:num>
  <w:num w:numId="46" w16cid:durableId="1652438432">
    <w:abstractNumId w:val="27"/>
  </w:num>
  <w:num w:numId="47" w16cid:durableId="1271233837">
    <w:abstractNumId w:val="13"/>
  </w:num>
  <w:num w:numId="48" w16cid:durableId="227570667">
    <w:abstractNumId w:val="29"/>
  </w:num>
  <w:num w:numId="49" w16cid:durableId="1741516111">
    <w:abstractNumId w:val="2"/>
  </w:num>
  <w:num w:numId="50" w16cid:durableId="810293802">
    <w:abstractNumId w:val="6"/>
  </w:num>
  <w:num w:numId="51" w16cid:durableId="1636333669">
    <w:abstractNumId w:val="39"/>
  </w:num>
  <w:num w:numId="52" w16cid:durableId="1364089416">
    <w:abstractNumId w:val="23"/>
  </w:num>
  <w:num w:numId="53" w16cid:durableId="1654871062">
    <w:abstractNumId w:val="52"/>
  </w:num>
  <w:num w:numId="54" w16cid:durableId="749810333">
    <w:abstractNumId w:val="47"/>
  </w:num>
  <w:num w:numId="55" w16cid:durableId="1669939255">
    <w:abstractNumId w:val="33"/>
  </w:num>
  <w:num w:numId="56" w16cid:durableId="602880471">
    <w:abstractNumId w:val="56"/>
  </w:num>
  <w:num w:numId="57" w16cid:durableId="915436036">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70"/>
    <w:rsid w:val="00035D56"/>
    <w:rsid w:val="00056B9F"/>
    <w:rsid w:val="0006584B"/>
    <w:rsid w:val="00075E05"/>
    <w:rsid w:val="000C322B"/>
    <w:rsid w:val="000C44B2"/>
    <w:rsid w:val="000D1240"/>
    <w:rsid w:val="000F792F"/>
    <w:rsid w:val="0010670C"/>
    <w:rsid w:val="001149A5"/>
    <w:rsid w:val="001358C9"/>
    <w:rsid w:val="00152E1E"/>
    <w:rsid w:val="00176813"/>
    <w:rsid w:val="00191570"/>
    <w:rsid w:val="00194752"/>
    <w:rsid w:val="001B7750"/>
    <w:rsid w:val="001C760C"/>
    <w:rsid w:val="001D1839"/>
    <w:rsid w:val="00201392"/>
    <w:rsid w:val="00215427"/>
    <w:rsid w:val="0021786D"/>
    <w:rsid w:val="0022203A"/>
    <w:rsid w:val="00224E16"/>
    <w:rsid w:val="002453AF"/>
    <w:rsid w:val="002A4E0D"/>
    <w:rsid w:val="002C18F9"/>
    <w:rsid w:val="002D7AB7"/>
    <w:rsid w:val="002E7628"/>
    <w:rsid w:val="003235FD"/>
    <w:rsid w:val="00352FF0"/>
    <w:rsid w:val="00354F17"/>
    <w:rsid w:val="00390D58"/>
    <w:rsid w:val="003A3416"/>
    <w:rsid w:val="003A473A"/>
    <w:rsid w:val="003B2025"/>
    <w:rsid w:val="003E4162"/>
    <w:rsid w:val="00413BCB"/>
    <w:rsid w:val="004144BA"/>
    <w:rsid w:val="00424B95"/>
    <w:rsid w:val="00436F05"/>
    <w:rsid w:val="004465C0"/>
    <w:rsid w:val="00475D9A"/>
    <w:rsid w:val="00484988"/>
    <w:rsid w:val="00496DDE"/>
    <w:rsid w:val="004B0B1E"/>
    <w:rsid w:val="004B0BC7"/>
    <w:rsid w:val="004C3C59"/>
    <w:rsid w:val="004D127D"/>
    <w:rsid w:val="005829BC"/>
    <w:rsid w:val="005B54B9"/>
    <w:rsid w:val="005E4A11"/>
    <w:rsid w:val="005E52EC"/>
    <w:rsid w:val="00606023"/>
    <w:rsid w:val="00650DF2"/>
    <w:rsid w:val="006B4D8F"/>
    <w:rsid w:val="006C07ED"/>
    <w:rsid w:val="006C10DA"/>
    <w:rsid w:val="00733E12"/>
    <w:rsid w:val="0076458E"/>
    <w:rsid w:val="00774588"/>
    <w:rsid w:val="00774F8C"/>
    <w:rsid w:val="007F646E"/>
    <w:rsid w:val="0081121F"/>
    <w:rsid w:val="00877BC4"/>
    <w:rsid w:val="008819F1"/>
    <w:rsid w:val="008C0AE8"/>
    <w:rsid w:val="008C4BAB"/>
    <w:rsid w:val="008C64EA"/>
    <w:rsid w:val="00914D79"/>
    <w:rsid w:val="00936F1D"/>
    <w:rsid w:val="00937BF2"/>
    <w:rsid w:val="009469EE"/>
    <w:rsid w:val="00946D9E"/>
    <w:rsid w:val="00971B45"/>
    <w:rsid w:val="00992CAA"/>
    <w:rsid w:val="009962C2"/>
    <w:rsid w:val="009A75D2"/>
    <w:rsid w:val="009C78A9"/>
    <w:rsid w:val="009E162E"/>
    <w:rsid w:val="009E23DC"/>
    <w:rsid w:val="009E7E4A"/>
    <w:rsid w:val="009F06C7"/>
    <w:rsid w:val="009F7DD6"/>
    <w:rsid w:val="00A62142"/>
    <w:rsid w:val="00A62297"/>
    <w:rsid w:val="00A905F6"/>
    <w:rsid w:val="00AA1DA9"/>
    <w:rsid w:val="00AB208D"/>
    <w:rsid w:val="00AB602F"/>
    <w:rsid w:val="00B3760E"/>
    <w:rsid w:val="00B40731"/>
    <w:rsid w:val="00B43268"/>
    <w:rsid w:val="00B64A51"/>
    <w:rsid w:val="00B9601B"/>
    <w:rsid w:val="00BC36F0"/>
    <w:rsid w:val="00BF66AA"/>
    <w:rsid w:val="00C109BB"/>
    <w:rsid w:val="00C728CE"/>
    <w:rsid w:val="00C867BF"/>
    <w:rsid w:val="00C90F37"/>
    <w:rsid w:val="00CA5D76"/>
    <w:rsid w:val="00CD69BF"/>
    <w:rsid w:val="00D059D1"/>
    <w:rsid w:val="00D13DC7"/>
    <w:rsid w:val="00D13FB2"/>
    <w:rsid w:val="00D40B0B"/>
    <w:rsid w:val="00D41FDD"/>
    <w:rsid w:val="00D42507"/>
    <w:rsid w:val="00D5380B"/>
    <w:rsid w:val="00D93F9E"/>
    <w:rsid w:val="00DA668B"/>
    <w:rsid w:val="00DB0C29"/>
    <w:rsid w:val="00DC3E71"/>
    <w:rsid w:val="00DE63A8"/>
    <w:rsid w:val="00E107AB"/>
    <w:rsid w:val="00E25F9F"/>
    <w:rsid w:val="00E37BB2"/>
    <w:rsid w:val="00E72394"/>
    <w:rsid w:val="00E953C4"/>
    <w:rsid w:val="00EC2CDD"/>
    <w:rsid w:val="00F03522"/>
    <w:rsid w:val="00F03B4A"/>
    <w:rsid w:val="00F076EC"/>
    <w:rsid w:val="00F07B2E"/>
    <w:rsid w:val="00F25AA6"/>
    <w:rsid w:val="00F501BD"/>
    <w:rsid w:val="00F70549"/>
    <w:rsid w:val="00F76061"/>
    <w:rsid w:val="00F90A18"/>
    <w:rsid w:val="00F927B0"/>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5043"/>
  <w15:chartTrackingRefBased/>
  <w15:docId w15:val="{6348A804-2C62-4A4E-9310-A3DCA4D0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2D7AB7"/>
    <w:pPr>
      <w:keepNext/>
      <w:keepLines/>
      <w:numPr>
        <w:numId w:val="14"/>
      </w:numPr>
      <w:spacing w:after="480"/>
      <w:ind w:left="851"/>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2D7AB7"/>
    <w:pPr>
      <w:keepNext/>
      <w:keepLines/>
      <w:numPr>
        <w:ilvl w:val="1"/>
        <w:numId w:val="14"/>
      </w:numPr>
      <w:spacing w:before="24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946D9E"/>
    <w:pPr>
      <w:keepNext/>
      <w:keepLines/>
      <w:numPr>
        <w:ilvl w:val="2"/>
        <w:numId w:val="14"/>
      </w:numPr>
      <w:spacing w:before="240"/>
      <w:outlineLvl w:val="2"/>
    </w:pPr>
    <w:rPr>
      <w:rFonts w:eastAsiaTheme="majorEastAsia" w:cstheme="majorBidi"/>
      <w:b/>
      <w:color w:val="0090B9"/>
      <w:sz w:val="22"/>
    </w:rPr>
  </w:style>
  <w:style w:type="paragraph" w:styleId="Heading4">
    <w:name w:val="heading 4"/>
    <w:basedOn w:val="Normal"/>
    <w:next w:val="Normal"/>
    <w:link w:val="Heading4Char"/>
    <w:uiPriority w:val="9"/>
    <w:unhideWhenUsed/>
    <w:qFormat/>
    <w:rsid w:val="00946D9E"/>
    <w:pPr>
      <w:keepNext/>
      <w:keepLines/>
      <w:numPr>
        <w:ilvl w:val="3"/>
        <w:numId w:val="14"/>
      </w:numPr>
      <w:spacing w:before="120"/>
      <w:outlineLvl w:val="3"/>
    </w:pPr>
    <w:rPr>
      <w:rFonts w:eastAsiaTheme="majorEastAsia" w:cstheme="majorBidi"/>
      <w:i/>
      <w:iCs/>
      <w:color w:val="0090B9"/>
      <w:sz w:val="22"/>
    </w:rPr>
  </w:style>
  <w:style w:type="paragraph" w:styleId="Heading5">
    <w:name w:val="heading 5"/>
    <w:basedOn w:val="Normal"/>
    <w:next w:val="Normal"/>
    <w:link w:val="Heading5Char"/>
    <w:uiPriority w:val="9"/>
    <w:semiHidden/>
    <w:unhideWhenUsed/>
    <w:qFormat/>
    <w:rsid w:val="002D7AB7"/>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D7AB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946D9E"/>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ormal"/>
    <w:qFormat/>
    <w:rsid w:val="001B7750"/>
    <w:pPr>
      <w:numPr>
        <w:numId w:val="3"/>
      </w:numPr>
      <w:ind w:left="568" w:hanging="284"/>
    </w:pPr>
    <w:rPr>
      <w:lang w:val="en-AU"/>
    </w:rPr>
  </w:style>
  <w:style w:type="character" w:customStyle="1" w:styleId="Heading4Char">
    <w:name w:val="Heading 4 Char"/>
    <w:basedOn w:val="DefaultParagraphFont"/>
    <w:link w:val="Heading4"/>
    <w:uiPriority w:val="9"/>
    <w:rsid w:val="00946D9E"/>
    <w:rPr>
      <w:rFonts w:ascii="Arial" w:eastAsiaTheme="majorEastAsia" w:hAnsi="Arial" w:cstheme="majorBidi"/>
      <w:i/>
      <w:iCs/>
      <w:color w:val="0090B9"/>
      <w:sz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4"/>
      </w:numPr>
    </w:pPr>
  </w:style>
  <w:style w:type="numbering" w:customStyle="1" w:styleId="CurrentList2">
    <w:name w:val="Current List2"/>
    <w:uiPriority w:val="99"/>
    <w:rsid w:val="00936F1D"/>
    <w:pPr>
      <w:numPr>
        <w:numId w:val="5"/>
      </w:numPr>
    </w:pPr>
  </w:style>
  <w:style w:type="numbering" w:customStyle="1" w:styleId="CurrentList3">
    <w:name w:val="Current List3"/>
    <w:uiPriority w:val="99"/>
    <w:rsid w:val="00936F1D"/>
    <w:pPr>
      <w:numPr>
        <w:numId w:val="6"/>
      </w:numPr>
    </w:pPr>
  </w:style>
  <w:style w:type="numbering" w:customStyle="1" w:styleId="CurrentList4">
    <w:name w:val="Current List4"/>
    <w:uiPriority w:val="99"/>
    <w:rsid w:val="00936F1D"/>
    <w:pPr>
      <w:numPr>
        <w:numId w:val="7"/>
      </w:numPr>
    </w:pPr>
  </w:style>
  <w:style w:type="numbering" w:customStyle="1" w:styleId="CurrentList5">
    <w:name w:val="Current List5"/>
    <w:uiPriority w:val="99"/>
    <w:rsid w:val="00936F1D"/>
    <w:pPr>
      <w:numPr>
        <w:numId w:val="8"/>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8819F1"/>
    <w:pPr>
      <w:spacing w:before="120" w:after="0"/>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alphabetL2">
    <w:name w:val="List - alphabet L2"/>
    <w:basedOn w:val="Normal"/>
    <w:qFormat/>
    <w:rsid w:val="001B7750"/>
    <w:pPr>
      <w:numPr>
        <w:numId w:val="12"/>
      </w:numPr>
    </w:pPr>
    <w:rPr>
      <w:lang w:val="en-AU"/>
    </w:rPr>
  </w:style>
  <w:style w:type="paragraph" w:customStyle="1" w:styleId="List-romannumberL3">
    <w:name w:val="List - roman number L3"/>
    <w:basedOn w:val="List-alphabetL2"/>
    <w:qFormat/>
    <w:rsid w:val="00C109BB"/>
    <w:pPr>
      <w:numPr>
        <w:numId w:val="9"/>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0"/>
      </w:numPr>
    </w:pPr>
  </w:style>
  <w:style w:type="numbering" w:customStyle="1" w:styleId="CurrentList7">
    <w:name w:val="Current List7"/>
    <w:uiPriority w:val="99"/>
    <w:rsid w:val="00F90A18"/>
    <w:pPr>
      <w:numPr>
        <w:numId w:val="11"/>
      </w:numPr>
    </w:pPr>
  </w:style>
  <w:style w:type="numbering" w:customStyle="1" w:styleId="CurrentList8">
    <w:name w:val="Current List8"/>
    <w:uiPriority w:val="99"/>
    <w:rsid w:val="00F90A18"/>
    <w:pPr>
      <w:numPr>
        <w:numId w:val="13"/>
      </w:numPr>
    </w:pPr>
  </w:style>
  <w:style w:type="paragraph" w:styleId="TOC3">
    <w:name w:val="toc 3"/>
    <w:basedOn w:val="Normal"/>
    <w:next w:val="Normal"/>
    <w:autoRedefine/>
    <w:uiPriority w:val="39"/>
    <w:unhideWhenUsed/>
    <w:rsid w:val="00D41FDD"/>
    <w:pPr>
      <w:tabs>
        <w:tab w:val="left" w:pos="1418"/>
        <w:tab w:val="right" w:leader="dot" w:pos="10206"/>
      </w:tabs>
      <w:spacing w:after="0"/>
      <w:ind w:left="851"/>
    </w:pPr>
  </w:style>
  <w:style w:type="table" w:styleId="TableGridLight">
    <w:name w:val="Grid Table Light"/>
    <w:basedOn w:val="TableNormal"/>
    <w:uiPriority w:val="40"/>
    <w:rsid w:val="00D42507"/>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rPr>
        <w:b/>
        <w:color w:val="FFFFFF" w:themeColor="background1"/>
      </w:rPr>
      <w:tblPr/>
      <w:tcPr>
        <w:shd w:val="clear" w:color="auto" w:fill="0090B9"/>
        <w:tcMar>
          <w:top w:w="57" w:type="dxa"/>
          <w:left w:w="108" w:type="dxa"/>
          <w:bottom w:w="57" w:type="dxa"/>
          <w:right w:w="108" w:type="dxa"/>
        </w:tcMar>
      </w:tcPr>
    </w:tblStylePr>
  </w:style>
  <w:style w:type="paragraph" w:customStyle="1" w:styleId="TOCHeading1">
    <w:name w:val="TOC Heading1"/>
    <w:basedOn w:val="Heading1"/>
    <w:qFormat/>
    <w:rsid w:val="00CD69BF"/>
    <w:pPr>
      <w:numPr>
        <w:numId w:val="0"/>
      </w:numPr>
    </w:pPr>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5"/>
      </w:numPr>
    </w:pPr>
  </w:style>
  <w:style w:type="numbering" w:customStyle="1" w:styleId="CurrentList10">
    <w:name w:val="Current List10"/>
    <w:uiPriority w:val="99"/>
    <w:rsid w:val="00CD69BF"/>
    <w:pPr>
      <w:numPr>
        <w:numId w:val="16"/>
      </w:numPr>
    </w:pPr>
  </w:style>
  <w:style w:type="numbering" w:customStyle="1" w:styleId="CurrentList11">
    <w:name w:val="Current List11"/>
    <w:uiPriority w:val="99"/>
    <w:rsid w:val="002D7AB7"/>
    <w:pPr>
      <w:numPr>
        <w:numId w:val="17"/>
      </w:numPr>
    </w:pPr>
  </w:style>
  <w:style w:type="numbering" w:customStyle="1" w:styleId="CurrentList12">
    <w:name w:val="Current List12"/>
    <w:uiPriority w:val="99"/>
    <w:rsid w:val="002D7AB7"/>
    <w:pPr>
      <w:numPr>
        <w:numId w:val="18"/>
      </w:numPr>
    </w:pPr>
  </w:style>
  <w:style w:type="numbering" w:customStyle="1" w:styleId="CurrentList13">
    <w:name w:val="Current List13"/>
    <w:uiPriority w:val="99"/>
    <w:rsid w:val="002D7AB7"/>
    <w:pPr>
      <w:numPr>
        <w:numId w:val="19"/>
      </w:numPr>
    </w:pPr>
  </w:style>
  <w:style w:type="paragraph" w:customStyle="1" w:styleId="AppendixHeading1">
    <w:name w:val="Appendix Heading 1"/>
    <w:next w:val="Normal"/>
    <w:rsid w:val="00E25F9F"/>
    <w:pPr>
      <w:keepNext/>
      <w:pageBreakBefore/>
      <w:numPr>
        <w:numId w:val="20"/>
      </w:numPr>
      <w:tabs>
        <w:tab w:val="clear" w:pos="1440"/>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E25F9F"/>
    <w:pPr>
      <w:keepNext/>
      <w:keepLines/>
      <w:tabs>
        <w:tab w:val="left" w:pos="1701"/>
      </w:tabs>
      <w:spacing w:before="120" w:after="60"/>
      <w:ind w:left="1701" w:hanging="907"/>
    </w:pPr>
    <w:rPr>
      <w:rFonts w:ascii="Arial" w:eastAsia="Times New Roman" w:hAnsi="Arial" w:cs="Times New Roman"/>
      <w:i/>
      <w:iCs/>
      <w:color w:val="000000"/>
      <w:sz w:val="20"/>
      <w:szCs w:val="20"/>
    </w:rPr>
  </w:style>
  <w:style w:type="numbering" w:styleId="111111">
    <w:name w:val="Outline List 2"/>
    <w:basedOn w:val="NoList"/>
    <w:semiHidden/>
    <w:rsid w:val="00E25F9F"/>
    <w:pPr>
      <w:numPr>
        <w:numId w:val="21"/>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BodyText-NumberedListi">
    <w:name w:val="Body Text - Numbered List i"/>
    <w:link w:val="BodyText-NumberedListiChar"/>
    <w:rsid w:val="00B40731"/>
    <w:pPr>
      <w:numPr>
        <w:ilvl w:val="2"/>
        <w:numId w:val="22"/>
      </w:numPr>
      <w:spacing w:before="60" w:after="120"/>
      <w:jc w:val="both"/>
    </w:pPr>
    <w:rPr>
      <w:rFonts w:ascii="Arial" w:eastAsia="Times" w:hAnsi="Arial" w:cs="Arial"/>
      <w:sz w:val="20"/>
      <w:szCs w:val="20"/>
    </w:rPr>
  </w:style>
  <w:style w:type="paragraph" w:customStyle="1" w:styleId="BodyText-NumberedList1">
    <w:name w:val="Body Text - Numbered List 1"/>
    <w:basedOn w:val="BodyText-NumberedLista"/>
    <w:rsid w:val="00B40731"/>
    <w:pPr>
      <w:numPr>
        <w:ilvl w:val="0"/>
      </w:numPr>
      <w:tabs>
        <w:tab w:val="clear" w:pos="567"/>
        <w:tab w:val="num" w:pos="1440"/>
      </w:tabs>
      <w:ind w:left="1134" w:hanging="1134"/>
    </w:pPr>
  </w:style>
  <w:style w:type="paragraph" w:customStyle="1" w:styleId="BodyText-NumberedLista">
    <w:name w:val="Body Text - Numbered List a"/>
    <w:link w:val="BodyText-NumberedListaCharChar"/>
    <w:rsid w:val="00B40731"/>
    <w:pPr>
      <w:numPr>
        <w:ilvl w:val="1"/>
        <w:numId w:val="22"/>
      </w:numPr>
      <w:spacing w:before="60" w:after="120"/>
      <w:jc w:val="both"/>
    </w:pPr>
    <w:rPr>
      <w:rFonts w:ascii="Arial" w:eastAsia="Times New Roman" w:hAnsi="Arial" w:cs="Arial"/>
      <w:sz w:val="20"/>
      <w:szCs w:val="20"/>
    </w:rPr>
  </w:style>
  <w:style w:type="paragraph" w:customStyle="1" w:styleId="TableText-ListIndent">
    <w:name w:val="Table Text - List Indent"/>
    <w:rsid w:val="00B40731"/>
    <w:pPr>
      <w:tabs>
        <w:tab w:val="num" w:pos="284"/>
      </w:tabs>
      <w:spacing w:before="60" w:after="60"/>
      <w:ind w:left="284" w:hanging="142"/>
    </w:pPr>
    <w:rPr>
      <w:rFonts w:ascii="Arial" w:eastAsia="Times" w:hAnsi="Arial" w:cs="Arial"/>
      <w:sz w:val="18"/>
      <w:szCs w:val="18"/>
    </w:rPr>
  </w:style>
  <w:style w:type="character" w:customStyle="1" w:styleId="BodyText-NumberedListaCharChar">
    <w:name w:val="Body Text - Numbered List a Char Char"/>
    <w:link w:val="BodyText-NumberedLista"/>
    <w:rsid w:val="00B40731"/>
    <w:rPr>
      <w:rFonts w:ascii="Arial" w:eastAsia="Times New Roman" w:hAnsi="Arial" w:cs="Arial"/>
      <w:sz w:val="20"/>
      <w:szCs w:val="20"/>
    </w:rPr>
  </w:style>
  <w:style w:type="character" w:customStyle="1" w:styleId="BodyText-NumberedListiChar">
    <w:name w:val="Body Text - Numbered List i Char"/>
    <w:link w:val="BodyText-NumberedListi"/>
    <w:rsid w:val="00B40731"/>
    <w:rPr>
      <w:rFonts w:ascii="Arial" w:eastAsia="Times" w:hAnsi="Arial" w:cs="Arial"/>
      <w:sz w:val="20"/>
      <w:szCs w:val="20"/>
    </w:rPr>
  </w:style>
  <w:style w:type="paragraph" w:customStyle="1" w:styleId="Numberedlist1">
    <w:name w:val="Numbered list 1"/>
    <w:basedOn w:val="BodyText-NumberedList1"/>
    <w:autoRedefine/>
    <w:qFormat/>
    <w:rsid w:val="00B3760E"/>
    <w:pPr>
      <w:numPr>
        <w:numId w:val="23"/>
      </w:numPr>
      <w:spacing w:before="120"/>
    </w:pPr>
  </w:style>
  <w:style w:type="paragraph" w:customStyle="1" w:styleId="NumberedList11">
    <w:name w:val="Numbered List 1.1."/>
    <w:basedOn w:val="BodyText-NumberedLista"/>
    <w:autoRedefine/>
    <w:qFormat/>
    <w:rsid w:val="00B3760E"/>
    <w:pPr>
      <w:numPr>
        <w:numId w:val="26"/>
      </w:numPr>
      <w:spacing w:before="0"/>
    </w:pPr>
  </w:style>
  <w:style w:type="paragraph" w:customStyle="1" w:styleId="NumberedList111">
    <w:name w:val="Numbered List 1.1.1."/>
    <w:basedOn w:val="BodyText-NumberedListi"/>
    <w:autoRedefine/>
    <w:qFormat/>
    <w:rsid w:val="001B7750"/>
    <w:pPr>
      <w:numPr>
        <w:numId w:val="26"/>
      </w:numPr>
      <w:spacing w:before="120"/>
    </w:pPr>
  </w:style>
  <w:style w:type="paragraph" w:customStyle="1" w:styleId="Heading2-withoutnumber">
    <w:name w:val="Heading 2 - without number"/>
    <w:basedOn w:val="Heading2"/>
    <w:qFormat/>
    <w:rsid w:val="00D41FDD"/>
    <w:pPr>
      <w:numPr>
        <w:ilvl w:val="0"/>
        <w:numId w:val="0"/>
      </w:numPr>
    </w:pPr>
  </w:style>
  <w:style w:type="numbering" w:customStyle="1" w:styleId="CurrentList14">
    <w:name w:val="Current List14"/>
    <w:uiPriority w:val="99"/>
    <w:rsid w:val="00D41FDD"/>
    <w:pPr>
      <w:numPr>
        <w:numId w:val="24"/>
      </w:numPr>
    </w:pPr>
  </w:style>
  <w:style w:type="paragraph" w:customStyle="1" w:styleId="List-numberL2">
    <w:name w:val="List - number L2"/>
    <w:basedOn w:val="NumberedList11"/>
    <w:qFormat/>
    <w:rsid w:val="001B7750"/>
    <w:pPr>
      <w:numPr>
        <w:ilvl w:val="0"/>
        <w:numId w:val="0"/>
      </w:numPr>
    </w:pPr>
  </w:style>
  <w:style w:type="numbering" w:customStyle="1" w:styleId="CurrentList15">
    <w:name w:val="Current List15"/>
    <w:uiPriority w:val="99"/>
    <w:rsid w:val="00992CAA"/>
    <w:pPr>
      <w:numPr>
        <w:numId w:val="25"/>
      </w:numPr>
    </w:pPr>
  </w:style>
  <w:style w:type="numbering" w:customStyle="1" w:styleId="CurrentList16">
    <w:name w:val="Current List16"/>
    <w:uiPriority w:val="99"/>
    <w:rsid w:val="00992CAA"/>
    <w:pPr>
      <w:numPr>
        <w:numId w:val="27"/>
      </w:numPr>
    </w:pPr>
  </w:style>
  <w:style w:type="numbering" w:customStyle="1" w:styleId="CurrentList17">
    <w:name w:val="Current List17"/>
    <w:uiPriority w:val="99"/>
    <w:rsid w:val="00992CAA"/>
    <w:pPr>
      <w:numPr>
        <w:numId w:val="28"/>
      </w:numPr>
    </w:pPr>
  </w:style>
  <w:style w:type="numbering" w:customStyle="1" w:styleId="CurrentList18">
    <w:name w:val="Current List18"/>
    <w:uiPriority w:val="99"/>
    <w:rsid w:val="00992CAA"/>
    <w:pPr>
      <w:numPr>
        <w:numId w:val="29"/>
      </w:numPr>
    </w:pPr>
  </w:style>
  <w:style w:type="numbering" w:customStyle="1" w:styleId="CurrentList19">
    <w:name w:val="Current List19"/>
    <w:uiPriority w:val="99"/>
    <w:rsid w:val="00992CAA"/>
    <w:pPr>
      <w:numPr>
        <w:numId w:val="30"/>
      </w:numPr>
    </w:pPr>
  </w:style>
  <w:style w:type="numbering" w:customStyle="1" w:styleId="CurrentList20">
    <w:name w:val="Current List20"/>
    <w:uiPriority w:val="99"/>
    <w:rsid w:val="00C109BB"/>
    <w:pPr>
      <w:numPr>
        <w:numId w:val="31"/>
      </w:numPr>
    </w:pPr>
  </w:style>
  <w:style w:type="numbering" w:customStyle="1" w:styleId="CurrentList21">
    <w:name w:val="Current List21"/>
    <w:uiPriority w:val="99"/>
    <w:rsid w:val="00C109BB"/>
    <w:pPr>
      <w:numPr>
        <w:numId w:val="32"/>
      </w:numPr>
    </w:pPr>
  </w:style>
  <w:style w:type="numbering" w:customStyle="1" w:styleId="CurrentList22">
    <w:name w:val="Current List22"/>
    <w:uiPriority w:val="99"/>
    <w:rsid w:val="001B7750"/>
    <w:pPr>
      <w:numPr>
        <w:numId w:val="33"/>
      </w:numPr>
    </w:pPr>
  </w:style>
  <w:style w:type="numbering" w:customStyle="1" w:styleId="CurrentList23">
    <w:name w:val="Current List23"/>
    <w:uiPriority w:val="99"/>
    <w:rsid w:val="001B7750"/>
    <w:pPr>
      <w:numPr>
        <w:numId w:val="34"/>
      </w:numPr>
    </w:pPr>
  </w:style>
  <w:style w:type="numbering" w:customStyle="1" w:styleId="CurrentList24">
    <w:name w:val="Current List24"/>
    <w:uiPriority w:val="99"/>
    <w:rsid w:val="001B7750"/>
    <w:pPr>
      <w:numPr>
        <w:numId w:val="35"/>
      </w:numPr>
    </w:pPr>
  </w:style>
  <w:style w:type="paragraph" w:customStyle="1" w:styleId="BodyText-Bulletlist">
    <w:name w:val="Body Text - Bullet list"/>
    <w:rsid w:val="00191570"/>
    <w:pPr>
      <w:numPr>
        <w:numId w:val="36"/>
      </w:numPr>
      <w:adjustRightInd w:val="0"/>
      <w:spacing w:after="120"/>
      <w:ind w:left="397" w:hanging="397"/>
      <w:jc w:val="both"/>
    </w:pPr>
    <w:rPr>
      <w:rFonts w:ascii="Arial" w:eastAsia="Times New Roman" w:hAnsi="Arial" w:cs="Arial"/>
      <w:sz w:val="20"/>
    </w:rPr>
  </w:style>
  <w:style w:type="paragraph" w:customStyle="1" w:styleId="Reportsubtitle">
    <w:name w:val="Report subtitle"/>
    <w:next w:val="Normal"/>
    <w:rsid w:val="00191570"/>
    <w:pPr>
      <w:spacing w:after="240"/>
    </w:pPr>
    <w:rPr>
      <w:rFonts w:ascii="Arial" w:eastAsia="Times" w:hAnsi="Arial" w:cs="Arial"/>
      <w:color w:val="44546A" w:themeColor="text2"/>
      <w:sz w:val="36"/>
      <w:szCs w:val="96"/>
      <w:lang w:eastAsia="en-AU"/>
    </w:rPr>
  </w:style>
  <w:style w:type="paragraph" w:customStyle="1" w:styleId="TableText-List">
    <w:name w:val="Table Text - List"/>
    <w:rsid w:val="00191570"/>
    <w:pPr>
      <w:numPr>
        <w:numId w:val="37"/>
      </w:numPr>
      <w:spacing w:before="60" w:after="60"/>
    </w:pPr>
    <w:rPr>
      <w:rFonts w:ascii="Arial" w:eastAsia="Times New Roman" w:hAnsi="Arial" w:cs="Arial"/>
      <w:kern w:val="22"/>
      <w:sz w:val="18"/>
      <w:szCs w:val="18"/>
    </w:rPr>
  </w:style>
  <w:style w:type="character" w:styleId="FootnoteReference">
    <w:name w:val="footnote reference"/>
    <w:rsid w:val="00191570"/>
    <w:rPr>
      <w:rFonts w:ascii="Arial" w:hAnsi="Arial" w:cs="Arial"/>
      <w:sz w:val="16"/>
      <w:vertAlign w:val="superscript"/>
    </w:rPr>
  </w:style>
  <w:style w:type="paragraph" w:styleId="FootnoteText">
    <w:name w:val="footnote text"/>
    <w:link w:val="FootnoteTextChar"/>
    <w:rsid w:val="00191570"/>
    <w:pPr>
      <w:ind w:left="198" w:right="720" w:hanging="198"/>
      <w:jc w:val="both"/>
    </w:pPr>
    <w:rPr>
      <w:rFonts w:ascii="Arial" w:eastAsia="Times New Roman" w:hAnsi="Arial" w:cs="Arial"/>
      <w:sz w:val="16"/>
      <w:szCs w:val="20"/>
      <w:lang w:eastAsia="en-AU"/>
    </w:rPr>
  </w:style>
  <w:style w:type="character" w:customStyle="1" w:styleId="FootnoteTextChar">
    <w:name w:val="Footnote Text Char"/>
    <w:basedOn w:val="DefaultParagraphFont"/>
    <w:link w:val="FootnoteText"/>
    <w:rsid w:val="00191570"/>
    <w:rPr>
      <w:rFonts w:ascii="Arial" w:eastAsia="Times New Roman" w:hAnsi="Arial" w:cs="Arial"/>
      <w:sz w:val="16"/>
      <w:szCs w:val="20"/>
      <w:lang w:eastAsia="en-AU"/>
    </w:rPr>
  </w:style>
  <w:style w:type="paragraph" w:styleId="ListBullet">
    <w:name w:val="List Bullet"/>
    <w:basedOn w:val="Normal"/>
    <w:semiHidden/>
    <w:rsid w:val="00191570"/>
    <w:pPr>
      <w:numPr>
        <w:numId w:val="38"/>
      </w:numPr>
    </w:pPr>
    <w:rPr>
      <w:rFonts w:eastAsia="Times New Roman" w:cs="Arial"/>
      <w:szCs w:val="20"/>
      <w:u w:val="single"/>
      <w:lang w:val="en-AU"/>
    </w:rPr>
  </w:style>
  <w:style w:type="paragraph" w:customStyle="1" w:styleId="BODYYY">
    <w:name w:val="BODYYY"/>
    <w:basedOn w:val="BodyText"/>
    <w:rsid w:val="00191570"/>
    <w:pPr>
      <w:spacing w:before="120"/>
      <w:ind w:left="907"/>
    </w:pPr>
    <w:rPr>
      <w:color w:val="auto"/>
      <w:szCs w:val="24"/>
    </w:rPr>
  </w:style>
  <w:style w:type="character" w:customStyle="1" w:styleId="Emphasis-Bold">
    <w:name w:val="Emphasis - Bold"/>
    <w:qFormat/>
    <w:rsid w:val="00191570"/>
    <w:rPr>
      <w:rFonts w:ascii="Arial" w:hAnsi="Arial" w:cs="Arial"/>
      <w:b/>
      <w:color w:val="000000"/>
    </w:rPr>
  </w:style>
  <w:style w:type="paragraph" w:styleId="Revision">
    <w:name w:val="Revision"/>
    <w:hidden/>
    <w:uiPriority w:val="99"/>
    <w:semiHidden/>
    <w:rsid w:val="004B0B1E"/>
    <w:rPr>
      <w:rFonts w:ascii="Arial" w:hAnsi="Arial"/>
      <w:sz w:val="20"/>
      <w:lang w:val="en-GB"/>
    </w:rPr>
  </w:style>
  <w:style w:type="character" w:styleId="CommentReference">
    <w:name w:val="annotation reference"/>
    <w:basedOn w:val="DefaultParagraphFont"/>
    <w:uiPriority w:val="99"/>
    <w:semiHidden/>
    <w:unhideWhenUsed/>
    <w:rsid w:val="004B0B1E"/>
    <w:rPr>
      <w:sz w:val="16"/>
      <w:szCs w:val="16"/>
    </w:rPr>
  </w:style>
  <w:style w:type="paragraph" w:styleId="CommentText">
    <w:name w:val="annotation text"/>
    <w:basedOn w:val="Normal"/>
    <w:link w:val="CommentTextChar"/>
    <w:uiPriority w:val="99"/>
    <w:unhideWhenUsed/>
    <w:rsid w:val="004B0B1E"/>
    <w:rPr>
      <w:szCs w:val="20"/>
    </w:rPr>
  </w:style>
  <w:style w:type="character" w:customStyle="1" w:styleId="CommentTextChar">
    <w:name w:val="Comment Text Char"/>
    <w:basedOn w:val="DefaultParagraphFont"/>
    <w:link w:val="CommentText"/>
    <w:uiPriority w:val="99"/>
    <w:rsid w:val="004B0B1E"/>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4B0B1E"/>
    <w:rPr>
      <w:b/>
      <w:bCs/>
    </w:rPr>
  </w:style>
  <w:style w:type="character" w:customStyle="1" w:styleId="CommentSubjectChar">
    <w:name w:val="Comment Subject Char"/>
    <w:basedOn w:val="CommentTextChar"/>
    <w:link w:val="CommentSubject"/>
    <w:uiPriority w:val="99"/>
    <w:semiHidden/>
    <w:rsid w:val="004B0B1E"/>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F299A25C194C809096B3B01920309C"/>
        <w:category>
          <w:name w:val="General"/>
          <w:gallery w:val="placeholder"/>
        </w:category>
        <w:types>
          <w:type w:val="bbPlcHdr"/>
        </w:types>
        <w:behaviors>
          <w:behavior w:val="content"/>
        </w:behaviors>
        <w:guid w:val="{EC84F4E4-6571-4642-8677-93CE2D0EC20F}"/>
      </w:docPartPr>
      <w:docPartBody>
        <w:p w:rsidR="001B716D" w:rsidRDefault="00B2522B">
          <w:pPr>
            <w:pStyle w:val="ADF299A25C194C809096B3B01920309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6D"/>
    <w:rsid w:val="001B716D"/>
    <w:rsid w:val="002A6B3C"/>
    <w:rsid w:val="003C2A24"/>
    <w:rsid w:val="00710BF0"/>
    <w:rsid w:val="008679AF"/>
    <w:rsid w:val="00A85E48"/>
    <w:rsid w:val="00AE2C4C"/>
    <w:rsid w:val="00B2522B"/>
    <w:rsid w:val="00CB0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DF299A25C194C809096B3B01920309C">
    <w:name w:val="ADF299A25C194C809096B3B019203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57E7-5137-4279-A5F6-C36D107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Hibberd</dc:creator>
  <cp:keywords/>
  <dc:description/>
  <cp:lastModifiedBy>Alistair King</cp:lastModifiedBy>
  <cp:revision>18</cp:revision>
  <cp:lastPrinted>2021-12-24T01:16:00Z</cp:lastPrinted>
  <dcterms:created xsi:type="dcterms:W3CDTF">2022-04-13T07:01:00Z</dcterms:created>
  <dcterms:modified xsi:type="dcterms:W3CDTF">2023-11-09T21:27:00Z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787136eb,4459c6b,8320b86</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2023-11-09T21:27:31Z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7140b06d-da94-4dfe-8209-90ff3378b118</vt:lpwstr>
  </property>
  <property fmtid="{D5CDD505-2E9C-101B-9397-08002B2CF9AE}" pid="11" name="MSIP_Label_49e7efd5-7a26-428e-a0b1-b03ce3e67d24_ContentBits">
    <vt:lpwstr>1</vt:lpwstr>
  </property>
</Properties>
</file>