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051" w:rsidRPr="00A114DA" w:rsidRDefault="00690051" w:rsidP="00690051">
      <w:pPr>
        <w:spacing w:after="120"/>
        <w:ind w:right="125"/>
        <w:jc w:val="right"/>
        <w:rPr>
          <w:szCs w:val="22"/>
        </w:rPr>
      </w:pPr>
      <w:r w:rsidRPr="00A114DA">
        <w:rPr>
          <w:szCs w:val="22"/>
        </w:rPr>
        <w:t xml:space="preserve">TRIM ID: </w:t>
      </w:r>
      <w:r w:rsidRPr="00A114DA">
        <w:rPr>
          <w:szCs w:val="22"/>
        </w:rPr>
        <w:fldChar w:fldCharType="begin"/>
      </w:r>
      <w:r w:rsidRPr="00A114DA">
        <w:rPr>
          <w:szCs w:val="22"/>
        </w:rPr>
        <w:instrText xml:space="preserve"> docproperty TRIMID </w:instrText>
      </w:r>
      <w:r w:rsidRPr="00A114DA">
        <w:rPr>
          <w:szCs w:val="22"/>
        </w:rPr>
        <w:fldChar w:fldCharType="separate"/>
      </w:r>
      <w:r w:rsidR="00C7129B">
        <w:rPr>
          <w:szCs w:val="22"/>
        </w:rPr>
        <w:t>CD/18/11445</w:t>
      </w:r>
      <w:r w:rsidRPr="00A114DA">
        <w:rPr>
          <w:szCs w:val="22"/>
        </w:rPr>
        <w:fldChar w:fldCharType="end"/>
      </w:r>
    </w:p>
    <w:p w:rsidR="00A114DA" w:rsidRPr="00A114DA" w:rsidRDefault="00C3050A" w:rsidP="00A114DA">
      <w:pPr>
        <w:rPr>
          <w:b/>
          <w:szCs w:val="22"/>
        </w:rPr>
      </w:pPr>
      <w:r>
        <w:rPr>
          <w:b/>
          <w:szCs w:val="22"/>
        </w:rPr>
        <w:t>Information Sheet</w:t>
      </w:r>
      <w:r w:rsidR="00A114DA" w:rsidRPr="00A114DA">
        <w:rPr>
          <w:b/>
          <w:szCs w:val="22"/>
        </w:rPr>
        <w:t xml:space="preserve"> </w:t>
      </w:r>
      <w:r w:rsidR="00733CF0">
        <w:rPr>
          <w:b/>
          <w:szCs w:val="22"/>
        </w:rPr>
        <w:t>–</w:t>
      </w:r>
      <w:r w:rsidR="00A114DA" w:rsidRPr="00A114DA">
        <w:rPr>
          <w:b/>
          <w:szCs w:val="22"/>
        </w:rPr>
        <w:t xml:space="preserve"> </w:t>
      </w:r>
      <w:r w:rsidR="003A7700">
        <w:rPr>
          <w:b/>
        </w:rPr>
        <w:t>Contested Liquor Licence Applications</w:t>
      </w:r>
    </w:p>
    <w:p w:rsidR="00A114DA" w:rsidRPr="00A114DA" w:rsidRDefault="00A114DA" w:rsidP="00A114DA">
      <w:pPr>
        <w:rPr>
          <w:b/>
          <w:szCs w:val="22"/>
        </w:rPr>
      </w:pPr>
    </w:p>
    <w:p w:rsidR="00A114DA" w:rsidRDefault="00A114DA" w:rsidP="00A114DA">
      <w:pPr>
        <w:rPr>
          <w:b/>
          <w:szCs w:val="22"/>
        </w:rPr>
      </w:pPr>
      <w:r w:rsidRPr="00A114DA">
        <w:rPr>
          <w:b/>
          <w:szCs w:val="22"/>
        </w:rPr>
        <w:t>Background</w:t>
      </w:r>
    </w:p>
    <w:p w:rsidR="00A114DA" w:rsidRPr="00A114DA" w:rsidRDefault="00A114DA" w:rsidP="00A114DA">
      <w:pPr>
        <w:rPr>
          <w:b/>
          <w:szCs w:val="22"/>
        </w:rPr>
      </w:pPr>
    </w:p>
    <w:p w:rsidR="003A7700" w:rsidRDefault="003A7700" w:rsidP="003A7700">
      <w:pPr>
        <w:spacing w:after="240"/>
      </w:pPr>
      <w:r>
        <w:t>This Information Sheet explains how the Victorian Commission for Gambling and Liquor Regulation (</w:t>
      </w:r>
      <w:r>
        <w:rPr>
          <w:b/>
        </w:rPr>
        <w:t>the Commission</w:t>
      </w:r>
      <w:r>
        <w:t xml:space="preserve">) usually makes decisions about liquor licence applications made </w:t>
      </w:r>
      <w:r w:rsidRPr="0098536C">
        <w:t>under th</w:t>
      </w:r>
      <w:bookmarkStart w:id="0" w:name="_GoBack"/>
      <w:bookmarkEnd w:id="0"/>
      <w:r w:rsidRPr="0098536C">
        <w:t xml:space="preserve">e </w:t>
      </w:r>
      <w:r w:rsidRPr="00014CA0">
        <w:rPr>
          <w:i/>
        </w:rPr>
        <w:t>Liquor Control Reform Act 1998</w:t>
      </w:r>
      <w:r w:rsidRPr="0098536C">
        <w:t xml:space="preserve"> (</w:t>
      </w:r>
      <w:r w:rsidRPr="00014CA0">
        <w:rPr>
          <w:b/>
        </w:rPr>
        <w:t>the Act</w:t>
      </w:r>
      <w:r w:rsidRPr="0098536C">
        <w:t>)</w:t>
      </w:r>
      <w:r>
        <w:t xml:space="preserve"> which are 'contested'. </w:t>
      </w:r>
    </w:p>
    <w:p w:rsidR="003A7700" w:rsidRPr="00EF1327" w:rsidRDefault="003A7700" w:rsidP="003A7700">
      <w:pPr>
        <w:spacing w:after="240"/>
      </w:pPr>
      <w:r>
        <w:t xml:space="preserve">This Information Sheet only applies to contested applications which have been escalated to a single Commissioner to determine. </w:t>
      </w:r>
    </w:p>
    <w:p w:rsidR="003A7700" w:rsidRDefault="003A7700" w:rsidP="003A7700">
      <w:pPr>
        <w:spacing w:after="240"/>
      </w:pPr>
      <w:r>
        <w:t>If you apply for the grant of a licence, or for the variation, relocation or transfer of a licence</w:t>
      </w:r>
      <w:r>
        <w:rPr>
          <w:rStyle w:val="FootnoteReference"/>
        </w:rPr>
        <w:footnoteReference w:id="1"/>
      </w:r>
      <w:r>
        <w:t>, and a person objects to the application, the application is considered a 'contested' application.</w:t>
      </w:r>
    </w:p>
    <w:p w:rsidR="00A114DA" w:rsidRPr="00B6685C" w:rsidRDefault="003A7700" w:rsidP="003A7700">
      <w:pPr>
        <w:rPr>
          <w:b/>
          <w:szCs w:val="22"/>
        </w:rPr>
      </w:pPr>
      <w:r>
        <w:rPr>
          <w:b/>
          <w:szCs w:val="22"/>
        </w:rPr>
        <w:t>How do I make a liquor licence application?</w:t>
      </w:r>
    </w:p>
    <w:p w:rsidR="00B6685C" w:rsidRDefault="00B6685C" w:rsidP="00B6685C">
      <w:pPr>
        <w:rPr>
          <w:szCs w:val="22"/>
        </w:rPr>
      </w:pPr>
    </w:p>
    <w:p w:rsidR="003A7700" w:rsidRPr="0098536C" w:rsidRDefault="003A7700" w:rsidP="003907E1">
      <w:pPr>
        <w:spacing w:after="240"/>
      </w:pPr>
      <w:r w:rsidRPr="0098536C">
        <w:t>An application for</w:t>
      </w:r>
      <w:r>
        <w:t xml:space="preserve"> the grant, variation, relocation or transfer</w:t>
      </w:r>
      <w:r w:rsidRPr="0098536C">
        <w:t xml:space="preserve"> of a licence, must:</w:t>
      </w:r>
    </w:p>
    <w:p w:rsidR="003A7700" w:rsidRPr="0098536C" w:rsidRDefault="003A7700" w:rsidP="003907E1">
      <w:pPr>
        <w:pStyle w:val="ListBullet"/>
        <w:numPr>
          <w:ilvl w:val="0"/>
          <w:numId w:val="19"/>
        </w:numPr>
        <w:tabs>
          <w:tab w:val="left" w:pos="350"/>
        </w:tabs>
        <w:spacing w:after="240"/>
        <w:ind w:left="364" w:hanging="364"/>
      </w:pPr>
      <w:r>
        <w:t xml:space="preserve">be </w:t>
      </w:r>
      <w:r w:rsidRPr="0098536C">
        <w:t>in the form approved by the Commission</w:t>
      </w:r>
      <w:r>
        <w:t>.  There are different forms for the different types of licence, and for new applications or variations.  You should check our website (</w:t>
      </w:r>
      <w:hyperlink r:id="rId8" w:history="1">
        <w:r w:rsidRPr="00A72EDD">
          <w:rPr>
            <w:rStyle w:val="Hyperlink"/>
          </w:rPr>
          <w:t>http://www.vcglr.vic.gov.au</w:t>
        </w:r>
      </w:hyperlink>
      <w:r>
        <w:t>) to confirm which form relates to your application;</w:t>
      </w:r>
      <w:r w:rsidRPr="0098536C">
        <w:t xml:space="preserve"> </w:t>
      </w:r>
    </w:p>
    <w:p w:rsidR="003A7700" w:rsidRPr="0098536C" w:rsidRDefault="003A7700" w:rsidP="003907E1">
      <w:pPr>
        <w:pStyle w:val="ListBullet"/>
        <w:numPr>
          <w:ilvl w:val="0"/>
          <w:numId w:val="19"/>
        </w:numPr>
        <w:tabs>
          <w:tab w:val="left" w:pos="350"/>
        </w:tabs>
        <w:spacing w:after="240"/>
        <w:ind w:left="364" w:hanging="364"/>
      </w:pPr>
      <w:r>
        <w:t xml:space="preserve">be </w:t>
      </w:r>
      <w:r w:rsidRPr="0098536C">
        <w:t>accompanied by the prescribed fee</w:t>
      </w:r>
      <w:r>
        <w:t>.  The fee is different for different types of applications and the fees are set out on our website (</w:t>
      </w:r>
      <w:hyperlink r:id="rId9" w:history="1">
        <w:r w:rsidRPr="00A72EDD">
          <w:rPr>
            <w:rStyle w:val="Hyperlink"/>
          </w:rPr>
          <w:t>http://www.vcglr.vic.gov.au/liquor-licence-application-fees-and-timing</w:t>
        </w:r>
      </w:hyperlink>
      <w:r>
        <w:t>);</w:t>
      </w:r>
      <w:r w:rsidRPr="0098536C">
        <w:t xml:space="preserve"> </w:t>
      </w:r>
      <w:r>
        <w:t>and</w:t>
      </w:r>
    </w:p>
    <w:p w:rsidR="003A7700" w:rsidRPr="0098536C" w:rsidRDefault="003A7700" w:rsidP="003907E1">
      <w:pPr>
        <w:pStyle w:val="ListBullet"/>
        <w:numPr>
          <w:ilvl w:val="0"/>
          <w:numId w:val="19"/>
        </w:numPr>
        <w:tabs>
          <w:tab w:val="left" w:pos="350"/>
        </w:tabs>
        <w:spacing w:after="240"/>
        <w:ind w:left="364" w:hanging="364"/>
      </w:pPr>
      <w:r w:rsidRPr="0098536C">
        <w:t xml:space="preserve">contain all the information </w:t>
      </w:r>
      <w:r>
        <w:t xml:space="preserve">that </w:t>
      </w:r>
      <w:r w:rsidRPr="0098536C">
        <w:t>th</w:t>
      </w:r>
      <w:r>
        <w:t>e Commission requires (t</w:t>
      </w:r>
      <w:r w:rsidRPr="0098536C">
        <w:t>he</w:t>
      </w:r>
      <w:r>
        <w:t xml:space="preserve"> relevant approved form details what information is needed).</w:t>
      </w:r>
    </w:p>
    <w:p w:rsidR="003A7700" w:rsidRDefault="003A7700" w:rsidP="003907E1">
      <w:pPr>
        <w:spacing w:after="240"/>
      </w:pPr>
      <w:r>
        <w:t xml:space="preserve">Once your application is received, we will acknowledge it and let you know if any further information is required and what the next steps are.  Those steps may mean you need to display a public notice about the licence application at the proposed premises or in a local newspaper, or give notice of the application to specified persons who may be affected by the application.  </w:t>
      </w:r>
    </w:p>
    <w:p w:rsidR="003A7700" w:rsidRPr="0098536C" w:rsidRDefault="003A7700" w:rsidP="003907E1">
      <w:pPr>
        <w:spacing w:after="240"/>
      </w:pPr>
      <w:r>
        <w:t>We will also forward a copy of the application to the Chief Commissioner of Police and the relevant Local Council.</w:t>
      </w:r>
    </w:p>
    <w:p w:rsidR="00B6685C" w:rsidRPr="00B6685C" w:rsidRDefault="003907E1" w:rsidP="00B6685C">
      <w:pPr>
        <w:pStyle w:val="CUNumber3"/>
        <w:numPr>
          <w:ilvl w:val="0"/>
          <w:numId w:val="0"/>
        </w:numPr>
        <w:rPr>
          <w:b/>
          <w:sz w:val="22"/>
          <w:szCs w:val="22"/>
        </w:rPr>
      </w:pPr>
      <w:r>
        <w:rPr>
          <w:b/>
          <w:sz w:val="22"/>
          <w:szCs w:val="22"/>
        </w:rPr>
        <w:t>How do I object to an application</w:t>
      </w:r>
      <w:r w:rsidR="00B6685C" w:rsidRPr="00B6685C">
        <w:rPr>
          <w:b/>
          <w:sz w:val="22"/>
          <w:szCs w:val="22"/>
        </w:rPr>
        <w:t>?</w:t>
      </w:r>
    </w:p>
    <w:p w:rsidR="003907E1" w:rsidRDefault="003907E1" w:rsidP="003907E1">
      <w:pPr>
        <w:spacing w:after="240"/>
      </w:pPr>
      <w:r>
        <w:t>Objections to liquor licence applications can be made by:</w:t>
      </w:r>
    </w:p>
    <w:p w:rsidR="003907E1" w:rsidRDefault="003907E1" w:rsidP="003907E1">
      <w:pPr>
        <w:pStyle w:val="ListBullet"/>
        <w:numPr>
          <w:ilvl w:val="0"/>
          <w:numId w:val="20"/>
        </w:numPr>
        <w:tabs>
          <w:tab w:val="left" w:pos="426"/>
        </w:tabs>
        <w:spacing w:after="240"/>
        <w:ind w:left="426"/>
      </w:pPr>
      <w:r>
        <w:t>any person, on the grounds that:</w:t>
      </w:r>
    </w:p>
    <w:p w:rsidR="003907E1" w:rsidRDefault="003907E1" w:rsidP="003907E1">
      <w:pPr>
        <w:pStyle w:val="ListBullet2"/>
        <w:numPr>
          <w:ilvl w:val="1"/>
          <w:numId w:val="20"/>
        </w:numPr>
        <w:tabs>
          <w:tab w:val="left" w:pos="851"/>
        </w:tabs>
        <w:spacing w:after="240"/>
        <w:ind w:left="851" w:hanging="425"/>
      </w:pPr>
      <w:r>
        <w:t xml:space="preserve">granting, varying or relocating the licence would </w:t>
      </w:r>
      <w:r w:rsidRPr="00E9036D">
        <w:t>detract from or be detrimental</w:t>
      </w:r>
      <w:r>
        <w:t xml:space="preserve"> to the amenity of the area, or </w:t>
      </w:r>
    </w:p>
    <w:p w:rsidR="003907E1" w:rsidRDefault="003907E1" w:rsidP="003907E1">
      <w:pPr>
        <w:pStyle w:val="ListBullet2"/>
        <w:numPr>
          <w:ilvl w:val="1"/>
          <w:numId w:val="20"/>
        </w:numPr>
        <w:tabs>
          <w:tab w:val="left" w:pos="851"/>
        </w:tabs>
        <w:spacing w:after="240"/>
        <w:ind w:left="851" w:hanging="425"/>
      </w:pPr>
      <w:r>
        <w:t>for applications relating to the sale of packaged liquor (that is, from a bottle shop), granting, varying or relocating the licence would be conducive to, or encourage, the misuse or abuse of alcohol;</w:t>
      </w:r>
    </w:p>
    <w:p w:rsidR="003907E1" w:rsidRDefault="003907E1" w:rsidP="003907E1">
      <w:pPr>
        <w:pStyle w:val="ListBullet"/>
        <w:numPr>
          <w:ilvl w:val="0"/>
          <w:numId w:val="20"/>
        </w:numPr>
        <w:spacing w:after="240"/>
        <w:ind w:left="426"/>
      </w:pPr>
      <w:r>
        <w:lastRenderedPageBreak/>
        <w:t>the Local Council, in relation to premises within its municipal district, on the same grounds set out above;</w:t>
      </w:r>
    </w:p>
    <w:p w:rsidR="003907E1" w:rsidRDefault="003907E1" w:rsidP="003907E1">
      <w:pPr>
        <w:pStyle w:val="ListBullet"/>
        <w:numPr>
          <w:ilvl w:val="0"/>
          <w:numId w:val="20"/>
        </w:numPr>
        <w:spacing w:after="240"/>
        <w:ind w:left="426"/>
      </w:pPr>
      <w:r>
        <w:t>a Victoria Police licensing inspector, on the grounds that the applicant is not a suitable person, or otherwise on the same grounds set out above; and</w:t>
      </w:r>
    </w:p>
    <w:p w:rsidR="003907E1" w:rsidRPr="0098536C" w:rsidRDefault="003907E1" w:rsidP="003907E1">
      <w:pPr>
        <w:pStyle w:val="ListBullet"/>
        <w:numPr>
          <w:ilvl w:val="0"/>
          <w:numId w:val="20"/>
        </w:numPr>
        <w:spacing w:after="240"/>
        <w:ind w:left="426"/>
      </w:pPr>
      <w:r>
        <w:t>the Chief Commissioner of Police, on any grounds he or she thinks fit.</w:t>
      </w:r>
    </w:p>
    <w:p w:rsidR="003907E1" w:rsidRDefault="003907E1" w:rsidP="003907E1">
      <w:pPr>
        <w:spacing w:after="240"/>
      </w:pPr>
      <w:r>
        <w:t xml:space="preserve">Objections must be made in writing to us </w:t>
      </w:r>
      <w:r>
        <w:rPr>
          <w:b/>
        </w:rPr>
        <w:t>within 30 </w:t>
      </w:r>
      <w:r w:rsidRPr="00014CA0">
        <w:rPr>
          <w:b/>
        </w:rPr>
        <w:t>days</w:t>
      </w:r>
      <w:r>
        <w:rPr>
          <w:b/>
        </w:rPr>
        <w:t xml:space="preserve"> </w:t>
      </w:r>
      <w:r>
        <w:t>(unless granted an extension under section 174 of the Act) from the date that the display of the public notice started.  The notice will state the date by which objections need to be made.</w:t>
      </w:r>
    </w:p>
    <w:p w:rsidR="003907E1" w:rsidRDefault="003907E1" w:rsidP="003907E1">
      <w:pPr>
        <w:spacing w:after="240"/>
      </w:pPr>
      <w:r>
        <w:t>Your objection should clearly set out the grounds on which the objection is made and your reasons.</w:t>
      </w:r>
    </w:p>
    <w:p w:rsidR="003907E1" w:rsidRDefault="003907E1" w:rsidP="003907E1">
      <w:pPr>
        <w:spacing w:after="240"/>
      </w:pPr>
      <w:r>
        <w:t xml:space="preserve">If an objection is made which is frivolous or vexatious, or not in compliance with the Act, we may refuse to accept it. </w:t>
      </w:r>
    </w:p>
    <w:p w:rsidR="003907E1" w:rsidRDefault="003907E1" w:rsidP="003907E1">
      <w:pPr>
        <w:spacing w:after="240"/>
      </w:pPr>
      <w:r>
        <w:t xml:space="preserve">The Act also sets out some matters which are not valid reasons for an objection – such as that the proposed business will not be successful or would impact the business of an existing licensee, or that there is insufficient need or demand. </w:t>
      </w:r>
    </w:p>
    <w:p w:rsidR="00B6685C" w:rsidRPr="00B6685C" w:rsidRDefault="00733CF0" w:rsidP="00733CF0">
      <w:pPr>
        <w:pStyle w:val="CUNumber1"/>
        <w:numPr>
          <w:ilvl w:val="0"/>
          <w:numId w:val="0"/>
        </w:numPr>
        <w:rPr>
          <w:b/>
          <w:sz w:val="22"/>
          <w:szCs w:val="22"/>
        </w:rPr>
      </w:pPr>
      <w:r>
        <w:rPr>
          <w:b/>
          <w:sz w:val="22"/>
          <w:szCs w:val="22"/>
        </w:rPr>
        <w:t xml:space="preserve">How will the Commission deal with </w:t>
      </w:r>
      <w:r w:rsidR="003907E1">
        <w:rPr>
          <w:b/>
          <w:sz w:val="22"/>
          <w:szCs w:val="22"/>
        </w:rPr>
        <w:t xml:space="preserve">a contested </w:t>
      </w:r>
      <w:r>
        <w:rPr>
          <w:b/>
          <w:sz w:val="22"/>
          <w:szCs w:val="22"/>
        </w:rPr>
        <w:t>application?</w:t>
      </w:r>
    </w:p>
    <w:p w:rsidR="003907E1" w:rsidRPr="003907E1" w:rsidRDefault="003907E1" w:rsidP="003907E1">
      <w:pPr>
        <w:spacing w:after="240"/>
        <w:rPr>
          <w:szCs w:val="22"/>
        </w:rPr>
      </w:pPr>
      <w:r w:rsidRPr="003907E1">
        <w:rPr>
          <w:szCs w:val="22"/>
        </w:rPr>
        <w:t xml:space="preserve">The applicant and any objectors are parties to the application.  </w:t>
      </w:r>
    </w:p>
    <w:p w:rsidR="003907E1" w:rsidRPr="003907E1" w:rsidRDefault="003907E1" w:rsidP="003907E1">
      <w:pPr>
        <w:spacing w:after="240"/>
        <w:rPr>
          <w:szCs w:val="22"/>
        </w:rPr>
      </w:pPr>
      <w:r w:rsidRPr="003907E1">
        <w:rPr>
          <w:szCs w:val="22"/>
        </w:rPr>
        <w:t xml:space="preserve">There are two ways a contested application can be determined – either by holding a hearing or considering the application 'on the papers' (that is: on the basis of written information in the application, and in any objections, alone).  </w:t>
      </w:r>
    </w:p>
    <w:p w:rsidR="00A35719" w:rsidRPr="003907E1" w:rsidRDefault="003907E1" w:rsidP="003907E1">
      <w:pPr>
        <w:pStyle w:val="CUNumber3"/>
        <w:numPr>
          <w:ilvl w:val="0"/>
          <w:numId w:val="0"/>
        </w:numPr>
        <w:rPr>
          <w:sz w:val="22"/>
          <w:szCs w:val="22"/>
        </w:rPr>
      </w:pPr>
      <w:r w:rsidRPr="003907E1">
        <w:rPr>
          <w:sz w:val="22"/>
          <w:szCs w:val="22"/>
        </w:rPr>
        <w:t>If the Commissioner believes an application can be determined on the papers, we will write to you (and any other parties) asking whether all parties agree to us deciding the application in this way.</w:t>
      </w:r>
    </w:p>
    <w:p w:rsidR="00733CF0" w:rsidRDefault="00733CF0" w:rsidP="00733CF0">
      <w:pPr>
        <w:rPr>
          <w:b/>
        </w:rPr>
      </w:pPr>
      <w:r>
        <w:rPr>
          <w:b/>
        </w:rPr>
        <w:t xml:space="preserve">Decisions ‘on the papers’ </w:t>
      </w:r>
    </w:p>
    <w:p w:rsidR="00733CF0" w:rsidRDefault="00733CF0" w:rsidP="00733CF0">
      <w:pPr>
        <w:rPr>
          <w:b/>
        </w:rPr>
      </w:pPr>
    </w:p>
    <w:p w:rsidR="003907E1" w:rsidRDefault="003907E1" w:rsidP="003907E1">
      <w:pPr>
        <w:spacing w:after="240"/>
      </w:pPr>
      <w:r>
        <w:t>For contested applications that are determined 'on the papers':</w:t>
      </w:r>
    </w:p>
    <w:p w:rsidR="003907E1" w:rsidRDefault="003907E1" w:rsidP="003907E1">
      <w:pPr>
        <w:pStyle w:val="ListBullet"/>
        <w:numPr>
          <w:ilvl w:val="0"/>
          <w:numId w:val="21"/>
        </w:numPr>
        <w:tabs>
          <w:tab w:val="left" w:pos="426"/>
        </w:tabs>
        <w:spacing w:after="240"/>
        <w:ind w:left="426" w:hanging="426"/>
      </w:pPr>
      <w:r>
        <w:t>we will invite the applicant to provide us with any further written submissions and evidence within a specified timeframe;</w:t>
      </w:r>
    </w:p>
    <w:p w:rsidR="003907E1" w:rsidRDefault="003907E1" w:rsidP="003907E1">
      <w:pPr>
        <w:pStyle w:val="ListBullet"/>
        <w:numPr>
          <w:ilvl w:val="0"/>
          <w:numId w:val="21"/>
        </w:numPr>
        <w:tabs>
          <w:tab w:val="left" w:pos="426"/>
        </w:tabs>
        <w:spacing w:after="240"/>
        <w:ind w:left="426" w:hanging="426"/>
      </w:pPr>
      <w:r>
        <w:t>these submissions and evidence will then be provided to any objectors;</w:t>
      </w:r>
    </w:p>
    <w:p w:rsidR="003907E1" w:rsidRDefault="003907E1" w:rsidP="003907E1">
      <w:pPr>
        <w:pStyle w:val="ListBullet"/>
        <w:numPr>
          <w:ilvl w:val="0"/>
          <w:numId w:val="21"/>
        </w:numPr>
        <w:tabs>
          <w:tab w:val="left" w:pos="426"/>
        </w:tabs>
        <w:spacing w:after="240"/>
        <w:ind w:left="426" w:hanging="426"/>
      </w:pPr>
      <w:r>
        <w:t xml:space="preserve">the objectors will, in turn, be invited to provide their own written submissions and evidence within a specified timeframe; </w:t>
      </w:r>
    </w:p>
    <w:p w:rsidR="003907E1" w:rsidRDefault="003907E1" w:rsidP="003907E1">
      <w:pPr>
        <w:pStyle w:val="ListBullet"/>
        <w:numPr>
          <w:ilvl w:val="0"/>
          <w:numId w:val="21"/>
        </w:numPr>
        <w:tabs>
          <w:tab w:val="left" w:pos="426"/>
        </w:tabs>
        <w:spacing w:after="240"/>
        <w:ind w:left="426" w:hanging="426"/>
      </w:pPr>
      <w:r>
        <w:t>those materials will be provided to the applicant; and</w:t>
      </w:r>
    </w:p>
    <w:p w:rsidR="003907E1" w:rsidRDefault="003907E1" w:rsidP="003907E1">
      <w:pPr>
        <w:pStyle w:val="ListBullet"/>
        <w:numPr>
          <w:ilvl w:val="0"/>
          <w:numId w:val="21"/>
        </w:numPr>
        <w:tabs>
          <w:tab w:val="left" w:pos="426"/>
        </w:tabs>
        <w:spacing w:after="240"/>
        <w:ind w:left="426" w:hanging="426"/>
      </w:pPr>
      <w:r>
        <w:t>the applicant will be invited to respond within a specified timeframe (if necessary).</w:t>
      </w:r>
    </w:p>
    <w:p w:rsidR="003907E1" w:rsidRDefault="003907E1" w:rsidP="003907E1">
      <w:pPr>
        <w:spacing w:after="240"/>
      </w:pPr>
      <w:r>
        <w:t xml:space="preserve">If we have any other information which affects the application, we will provide that to all parties, and give everyone an opportunity to respond or provide further information (which needs to be provided within the time frames specified).  However, if a party does not respond in time, we may make our decision on the information already available to us.  </w:t>
      </w:r>
    </w:p>
    <w:p w:rsidR="00A35719" w:rsidRDefault="00A35719" w:rsidP="00A35719"/>
    <w:p w:rsidR="00B6685C" w:rsidRPr="00B6685C" w:rsidRDefault="00733CF0" w:rsidP="00B6685C">
      <w:pPr>
        <w:pStyle w:val="CUNumber3"/>
        <w:numPr>
          <w:ilvl w:val="0"/>
          <w:numId w:val="0"/>
        </w:numPr>
        <w:rPr>
          <w:b/>
          <w:sz w:val="22"/>
          <w:szCs w:val="22"/>
        </w:rPr>
      </w:pPr>
      <w:r>
        <w:rPr>
          <w:b/>
          <w:sz w:val="22"/>
          <w:szCs w:val="22"/>
        </w:rPr>
        <w:t>Hearing</w:t>
      </w:r>
    </w:p>
    <w:p w:rsidR="003907E1" w:rsidRPr="003907E1" w:rsidRDefault="003907E1" w:rsidP="003907E1">
      <w:pPr>
        <w:spacing w:after="240"/>
        <w:rPr>
          <w:szCs w:val="22"/>
        </w:rPr>
      </w:pPr>
      <w:r w:rsidRPr="003907E1">
        <w:rPr>
          <w:szCs w:val="22"/>
        </w:rPr>
        <w:t xml:space="preserve">If a party requests a hearing, or the application is not able to be decided ‘on the papers’, we will invite the parties to attend a hearing. </w:t>
      </w:r>
    </w:p>
    <w:p w:rsidR="003907E1" w:rsidRPr="003907E1" w:rsidRDefault="003907E1" w:rsidP="003907E1">
      <w:pPr>
        <w:spacing w:after="240"/>
        <w:rPr>
          <w:szCs w:val="22"/>
          <w:u w:val="single"/>
        </w:rPr>
      </w:pPr>
      <w:r w:rsidRPr="003907E1">
        <w:rPr>
          <w:szCs w:val="22"/>
          <w:u w:val="single"/>
        </w:rPr>
        <w:t>Preliminary meetings</w:t>
      </w:r>
    </w:p>
    <w:p w:rsidR="003907E1" w:rsidRPr="003907E1" w:rsidRDefault="003907E1" w:rsidP="003907E1">
      <w:pPr>
        <w:spacing w:after="240"/>
        <w:rPr>
          <w:szCs w:val="22"/>
        </w:rPr>
      </w:pPr>
      <w:r w:rsidRPr="003907E1">
        <w:rPr>
          <w:szCs w:val="22"/>
        </w:rPr>
        <w:t>In certain circumstances, we may decide to hold a preliminary meeting with all parties. At such a meeting, a single Commissioner will work with the parties to:</w:t>
      </w:r>
    </w:p>
    <w:p w:rsidR="003907E1" w:rsidRPr="003907E1" w:rsidRDefault="003907E1" w:rsidP="003907E1">
      <w:pPr>
        <w:pStyle w:val="CUTableBullet1"/>
        <w:numPr>
          <w:ilvl w:val="0"/>
          <w:numId w:val="22"/>
        </w:numPr>
        <w:tabs>
          <w:tab w:val="left" w:pos="426"/>
        </w:tabs>
        <w:ind w:left="426" w:hanging="426"/>
        <w:rPr>
          <w:sz w:val="22"/>
          <w:szCs w:val="22"/>
        </w:rPr>
      </w:pPr>
      <w:r w:rsidRPr="003907E1">
        <w:rPr>
          <w:sz w:val="22"/>
          <w:szCs w:val="22"/>
        </w:rPr>
        <w:t>identify key issues relevant to the application;</w:t>
      </w:r>
    </w:p>
    <w:p w:rsidR="003907E1" w:rsidRPr="003907E1" w:rsidRDefault="003907E1" w:rsidP="003907E1">
      <w:pPr>
        <w:pStyle w:val="CUTableBullet1"/>
        <w:numPr>
          <w:ilvl w:val="0"/>
          <w:numId w:val="22"/>
        </w:numPr>
        <w:tabs>
          <w:tab w:val="left" w:pos="426"/>
        </w:tabs>
        <w:ind w:left="426" w:hanging="426"/>
        <w:rPr>
          <w:sz w:val="22"/>
          <w:szCs w:val="22"/>
        </w:rPr>
      </w:pPr>
      <w:r w:rsidRPr="003907E1">
        <w:rPr>
          <w:sz w:val="22"/>
          <w:szCs w:val="22"/>
        </w:rPr>
        <w:t>set an agreed timetable for the exchange of submissions and documents by parties;</w:t>
      </w:r>
    </w:p>
    <w:p w:rsidR="003907E1" w:rsidRPr="003907E1" w:rsidRDefault="003907E1" w:rsidP="003907E1">
      <w:pPr>
        <w:pStyle w:val="CUTableBullet1"/>
        <w:numPr>
          <w:ilvl w:val="0"/>
          <w:numId w:val="22"/>
        </w:numPr>
        <w:tabs>
          <w:tab w:val="left" w:pos="426"/>
        </w:tabs>
        <w:ind w:left="426" w:hanging="426"/>
        <w:rPr>
          <w:sz w:val="22"/>
          <w:szCs w:val="22"/>
        </w:rPr>
      </w:pPr>
      <w:r w:rsidRPr="003907E1">
        <w:rPr>
          <w:sz w:val="22"/>
          <w:szCs w:val="22"/>
        </w:rPr>
        <w:t>identify relevant witnesses (if any) and estimate the likely duration of any hearing; and</w:t>
      </w:r>
    </w:p>
    <w:p w:rsidR="003907E1" w:rsidRPr="003907E1" w:rsidRDefault="003907E1" w:rsidP="003907E1">
      <w:pPr>
        <w:pStyle w:val="CUTableBullet1"/>
        <w:numPr>
          <w:ilvl w:val="0"/>
          <w:numId w:val="22"/>
        </w:numPr>
        <w:tabs>
          <w:tab w:val="left" w:pos="426"/>
        </w:tabs>
        <w:ind w:left="426" w:hanging="426"/>
        <w:rPr>
          <w:sz w:val="22"/>
          <w:szCs w:val="22"/>
        </w:rPr>
      </w:pPr>
      <w:r w:rsidRPr="003907E1">
        <w:rPr>
          <w:sz w:val="22"/>
          <w:szCs w:val="22"/>
        </w:rPr>
        <w:t>set an agreed time and date for the hearing.</w:t>
      </w:r>
    </w:p>
    <w:p w:rsidR="003907E1" w:rsidRPr="003907E1" w:rsidRDefault="003907E1" w:rsidP="003907E1">
      <w:pPr>
        <w:pStyle w:val="CUTableBullet1"/>
        <w:numPr>
          <w:ilvl w:val="0"/>
          <w:numId w:val="0"/>
        </w:numPr>
        <w:rPr>
          <w:sz w:val="22"/>
          <w:szCs w:val="22"/>
        </w:rPr>
      </w:pPr>
      <w:r w:rsidRPr="003907E1">
        <w:rPr>
          <w:sz w:val="22"/>
          <w:szCs w:val="22"/>
        </w:rPr>
        <w:t xml:space="preserve">The outcome of this meeting will be summarised in writing in an agreed timetable document. This will be provided to all parties and is expected to be adhered to. </w:t>
      </w:r>
    </w:p>
    <w:p w:rsidR="003907E1" w:rsidRPr="003907E1" w:rsidRDefault="003907E1" w:rsidP="003907E1">
      <w:pPr>
        <w:pStyle w:val="CUTableBullet1"/>
        <w:numPr>
          <w:ilvl w:val="0"/>
          <w:numId w:val="0"/>
        </w:numPr>
        <w:rPr>
          <w:sz w:val="22"/>
          <w:szCs w:val="22"/>
        </w:rPr>
      </w:pPr>
      <w:r w:rsidRPr="003907E1">
        <w:rPr>
          <w:sz w:val="22"/>
          <w:szCs w:val="22"/>
        </w:rPr>
        <w:t xml:space="preserve">Preliminary meetings can be in person or by telephone. Parties will be advised of the time and date of a preliminary meeting. </w:t>
      </w:r>
    </w:p>
    <w:p w:rsidR="00733CF0" w:rsidRPr="00733CF0" w:rsidRDefault="00733CF0" w:rsidP="00733CF0">
      <w:pPr>
        <w:spacing w:after="240"/>
        <w:rPr>
          <w:szCs w:val="20"/>
          <w:lang w:eastAsia="en-US"/>
        </w:rPr>
      </w:pPr>
      <w:r w:rsidRPr="00733CF0">
        <w:rPr>
          <w:b/>
          <w:szCs w:val="20"/>
          <w:lang w:eastAsia="en-US"/>
        </w:rPr>
        <w:t>What happens at a hearing?</w:t>
      </w:r>
    </w:p>
    <w:p w:rsidR="003907E1" w:rsidRDefault="003907E1" w:rsidP="003907E1">
      <w:pPr>
        <w:spacing w:after="240"/>
      </w:pPr>
      <w:r w:rsidRPr="00A858A3">
        <w:t>If</w:t>
      </w:r>
      <w:r>
        <w:t xml:space="preserve"> you request a hearing, or we decide one is needed, we will arrange a time and date that suits all parties and the Commissioner. If any party requires an interpreter, we ask they notify the Commission as soon as possible so that we can arrange for one to be present.</w:t>
      </w:r>
    </w:p>
    <w:p w:rsidR="003907E1" w:rsidRDefault="003907E1" w:rsidP="003907E1">
      <w:pPr>
        <w:spacing w:after="240"/>
        <w:rPr>
          <w:b/>
        </w:rPr>
      </w:pPr>
      <w:r>
        <w:t xml:space="preserve">At the hearing, each party will have the opportunity to explain their view and put forward any relevant evidence or submissions. This may include calling witnesses and parties will have the opportunity to ask questions. </w:t>
      </w:r>
    </w:p>
    <w:p w:rsidR="003907E1" w:rsidRDefault="003907E1" w:rsidP="003907E1">
      <w:pPr>
        <w:spacing w:after="240"/>
      </w:pPr>
      <w:r>
        <w:t>The hearing will generally be conducted in public, unless we consider that the circumstances require a private hearing. A party can also request a private hearing – see Practice Note G-02 for further information about private hearings.</w:t>
      </w:r>
    </w:p>
    <w:p w:rsidR="003907E1" w:rsidRDefault="003907E1" w:rsidP="003907E1">
      <w:pPr>
        <w:spacing w:after="240"/>
      </w:pPr>
      <w:r>
        <w:t xml:space="preserve">There is usually a lawyer present who helps the Commission conduct the hearing. See Practice Note G-01 for more information about this person’s role. </w:t>
      </w:r>
    </w:p>
    <w:p w:rsidR="00733CF0" w:rsidRPr="00733CF0" w:rsidRDefault="00733CF0" w:rsidP="00733CF0">
      <w:pPr>
        <w:spacing w:after="240"/>
        <w:outlineLvl w:val="2"/>
        <w:rPr>
          <w:b/>
          <w:szCs w:val="20"/>
          <w:lang w:eastAsia="en-US"/>
        </w:rPr>
      </w:pPr>
      <w:r w:rsidRPr="00733CF0">
        <w:rPr>
          <w:b/>
          <w:szCs w:val="20"/>
          <w:lang w:eastAsia="en-US"/>
        </w:rPr>
        <w:t>Do I need a lawyer? Can I bring a support person?</w:t>
      </w:r>
    </w:p>
    <w:p w:rsidR="00733CF0" w:rsidRPr="00733CF0" w:rsidRDefault="00733CF0" w:rsidP="00733CF0">
      <w:pPr>
        <w:spacing w:after="240"/>
        <w:rPr>
          <w:szCs w:val="20"/>
          <w:lang w:eastAsia="en-US"/>
        </w:rPr>
      </w:pPr>
      <w:r w:rsidRPr="00733CF0">
        <w:rPr>
          <w:szCs w:val="20"/>
          <w:lang w:eastAsia="en-US"/>
        </w:rPr>
        <w:t>We aim to conduct hearings with as little formality and technicality as possible.  You are not required to have a lawyer represent you but may do so if you wish.  You can also bring along a support person.</w:t>
      </w:r>
    </w:p>
    <w:p w:rsidR="00733CF0" w:rsidRPr="00733CF0" w:rsidRDefault="00733CF0" w:rsidP="00733CF0">
      <w:pPr>
        <w:spacing w:after="240"/>
        <w:outlineLvl w:val="0"/>
        <w:rPr>
          <w:b/>
          <w:szCs w:val="20"/>
          <w:lang w:eastAsia="en-US"/>
        </w:rPr>
      </w:pPr>
      <w:r w:rsidRPr="00733CF0">
        <w:rPr>
          <w:b/>
          <w:szCs w:val="20"/>
          <w:lang w:eastAsia="en-US"/>
        </w:rPr>
        <w:t>What happens if I don’t attend a hearing?</w:t>
      </w:r>
    </w:p>
    <w:p w:rsidR="003907E1" w:rsidRDefault="003907E1" w:rsidP="003907E1">
      <w:pPr>
        <w:spacing w:after="240"/>
      </w:pPr>
      <w:r>
        <w:t>If you don’t attend a scheduled hearing, we will make a decision on the basis of all of the information already before us. If you cannot attend the scheduled hearing (for example, if you are unwell), you can ask for the hearing to take place on another day.</w:t>
      </w:r>
    </w:p>
    <w:p w:rsidR="00733CF0" w:rsidRPr="00733CF0" w:rsidRDefault="00733CF0" w:rsidP="00733CF0">
      <w:pPr>
        <w:spacing w:after="240"/>
        <w:rPr>
          <w:b/>
          <w:szCs w:val="20"/>
          <w:lang w:eastAsia="en-US"/>
        </w:rPr>
      </w:pPr>
      <w:r w:rsidRPr="00733CF0">
        <w:rPr>
          <w:b/>
          <w:szCs w:val="20"/>
          <w:lang w:eastAsia="en-US"/>
        </w:rPr>
        <w:lastRenderedPageBreak/>
        <w:t>Decision</w:t>
      </w:r>
    </w:p>
    <w:p w:rsidR="003907E1" w:rsidRPr="003907E1" w:rsidRDefault="003907E1" w:rsidP="003907E1">
      <w:pPr>
        <w:spacing w:after="240"/>
        <w:rPr>
          <w:szCs w:val="22"/>
        </w:rPr>
      </w:pPr>
      <w:r w:rsidRPr="003907E1">
        <w:rPr>
          <w:szCs w:val="22"/>
        </w:rPr>
        <w:t>After considering the application and objections, the Commissioner may grant the application (with or without conditions) or refuse it.</w:t>
      </w:r>
    </w:p>
    <w:p w:rsidR="003907E1" w:rsidRPr="003907E1" w:rsidRDefault="003907E1" w:rsidP="003907E1">
      <w:pPr>
        <w:spacing w:after="240"/>
        <w:rPr>
          <w:szCs w:val="22"/>
        </w:rPr>
      </w:pPr>
      <w:r w:rsidRPr="003907E1">
        <w:rPr>
          <w:szCs w:val="22"/>
        </w:rPr>
        <w:t xml:space="preserve">If there is a hearing, we will not usually make an immediate decision, but will consider all the information we have received and make our decision at a later time. </w:t>
      </w:r>
    </w:p>
    <w:p w:rsidR="003907E1" w:rsidRPr="003907E1" w:rsidRDefault="003907E1" w:rsidP="003907E1">
      <w:pPr>
        <w:spacing w:after="240"/>
        <w:rPr>
          <w:szCs w:val="22"/>
        </w:rPr>
      </w:pPr>
      <w:r w:rsidRPr="003907E1">
        <w:rPr>
          <w:szCs w:val="22"/>
        </w:rPr>
        <w:t xml:space="preserve">You will be notified of our decision in writing and receive a written statement of the reasons for our decision. If you are not satisfied with the decision of the Commissioner, you may be able to request an internal review of the decision – see Information Sheet – Internal reviews of liquor licence applications for more information. </w:t>
      </w:r>
    </w:p>
    <w:p w:rsidR="003907E1" w:rsidRPr="003907E1" w:rsidRDefault="003907E1" w:rsidP="003907E1">
      <w:pPr>
        <w:pStyle w:val="CUNumber1"/>
        <w:numPr>
          <w:ilvl w:val="0"/>
          <w:numId w:val="0"/>
        </w:numPr>
        <w:tabs>
          <w:tab w:val="left" w:pos="720"/>
        </w:tabs>
        <w:rPr>
          <w:sz w:val="22"/>
          <w:szCs w:val="22"/>
        </w:rPr>
      </w:pPr>
      <w:r w:rsidRPr="003907E1">
        <w:rPr>
          <w:b/>
          <w:sz w:val="22"/>
          <w:szCs w:val="22"/>
        </w:rPr>
        <w:t xml:space="preserve">Effective Date: </w:t>
      </w:r>
      <w:r w:rsidRPr="003907E1">
        <w:rPr>
          <w:sz w:val="22"/>
          <w:szCs w:val="22"/>
        </w:rPr>
        <w:t xml:space="preserve">This practice note was approved by the Commission on </w:t>
      </w:r>
      <w:r w:rsidRPr="003907E1">
        <w:rPr>
          <w:b/>
          <w:sz w:val="22"/>
          <w:szCs w:val="22"/>
        </w:rPr>
        <w:t>26 April 2018</w:t>
      </w:r>
      <w:r w:rsidRPr="003907E1">
        <w:rPr>
          <w:sz w:val="22"/>
          <w:szCs w:val="22"/>
        </w:rPr>
        <w:t xml:space="preserve"> and applies to contested liquor applications made to the Commission after this date. </w:t>
      </w:r>
    </w:p>
    <w:p w:rsidR="003907E1" w:rsidRPr="003907E1" w:rsidRDefault="003907E1" w:rsidP="003907E1">
      <w:pPr>
        <w:pStyle w:val="CUNumber1"/>
        <w:numPr>
          <w:ilvl w:val="0"/>
          <w:numId w:val="0"/>
        </w:numPr>
        <w:tabs>
          <w:tab w:val="left" w:pos="720"/>
        </w:tabs>
        <w:rPr>
          <w:sz w:val="22"/>
          <w:szCs w:val="22"/>
        </w:rPr>
      </w:pPr>
      <w:r w:rsidRPr="003907E1">
        <w:rPr>
          <w:sz w:val="22"/>
          <w:szCs w:val="22"/>
        </w:rPr>
        <w:t>The Commission has approved this Information Sheet to explain how it generally handles contested liquor applications, but may vary the way it handles a contested liquor application at its absolute discretion.</w:t>
      </w:r>
    </w:p>
    <w:p w:rsidR="00B349BC" w:rsidRPr="00A114DA" w:rsidRDefault="00B349BC" w:rsidP="00A35719">
      <w:pPr>
        <w:rPr>
          <w:szCs w:val="22"/>
        </w:rPr>
      </w:pPr>
    </w:p>
    <w:sectPr w:rsidR="00B349BC" w:rsidRPr="00A114DA" w:rsidSect="00AE72F6">
      <w:headerReference w:type="default" r:id="rId10"/>
      <w:footerReference w:type="default" r:id="rId11"/>
      <w:headerReference w:type="first" r:id="rId12"/>
      <w:pgSz w:w="11900" w:h="16840" w:code="9"/>
      <w:pgMar w:top="2291" w:right="851" w:bottom="851" w:left="1134" w:header="567" w:footer="771" w:gutter="0"/>
      <w:cols w:space="851"/>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6A3" w:rsidRDefault="008B56A3">
      <w:r>
        <w:separator/>
      </w:r>
    </w:p>
    <w:p w:rsidR="008B56A3" w:rsidRDefault="008B56A3"/>
  </w:endnote>
  <w:endnote w:type="continuationSeparator" w:id="0">
    <w:p w:rsidR="008B56A3" w:rsidRDefault="008B56A3">
      <w:r>
        <w:continuationSeparator/>
      </w:r>
    </w:p>
    <w:p w:rsidR="008B56A3" w:rsidRDefault="008B5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Bold">
    <w:altName w:val="Arial"/>
    <w:panose1 w:val="020B0704020202020204"/>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7" w:type="dxa"/>
        <w:left w:w="57" w:type="dxa"/>
        <w:bottom w:w="57" w:type="dxa"/>
        <w:right w:w="57" w:type="dxa"/>
      </w:tblCellMar>
      <w:tblLook w:val="01E0" w:firstRow="1" w:lastRow="1" w:firstColumn="1" w:lastColumn="1" w:noHBand="0" w:noVBand="0"/>
    </w:tblPr>
    <w:tblGrid>
      <w:gridCol w:w="4957"/>
      <w:gridCol w:w="4958"/>
    </w:tblGrid>
    <w:tr w:rsidR="006E7B6E" w:rsidRPr="00D7516F" w:rsidTr="00D67173">
      <w:tc>
        <w:tcPr>
          <w:tcW w:w="2500" w:type="pct"/>
          <w:shd w:val="clear" w:color="auto" w:fill="auto"/>
        </w:tcPr>
        <w:p w:rsidR="006E7B6E" w:rsidRPr="00D67173" w:rsidRDefault="006E7B6E" w:rsidP="00D67173">
          <w:pPr>
            <w:pStyle w:val="NoStyle"/>
            <w:jc w:val="both"/>
            <w:rPr>
              <w:sz w:val="18"/>
              <w:szCs w:val="18"/>
            </w:rPr>
          </w:pPr>
          <w:r w:rsidRPr="00D67173">
            <w:rPr>
              <w:sz w:val="18"/>
              <w:szCs w:val="18"/>
            </w:rPr>
            <w:t xml:space="preserve">TRIM: </w:t>
          </w:r>
          <w:r w:rsidRPr="00D67173">
            <w:rPr>
              <w:sz w:val="18"/>
              <w:szCs w:val="18"/>
            </w:rPr>
            <w:fldChar w:fldCharType="begin"/>
          </w:r>
          <w:r w:rsidRPr="00D67173">
            <w:rPr>
              <w:sz w:val="18"/>
              <w:szCs w:val="18"/>
            </w:rPr>
            <w:instrText xml:space="preserve"> docproperty TRIMID </w:instrText>
          </w:r>
          <w:r w:rsidRPr="00D67173">
            <w:rPr>
              <w:sz w:val="18"/>
              <w:szCs w:val="18"/>
            </w:rPr>
            <w:fldChar w:fldCharType="separate"/>
          </w:r>
          <w:r w:rsidR="00C7129B">
            <w:rPr>
              <w:sz w:val="18"/>
              <w:szCs w:val="18"/>
            </w:rPr>
            <w:t>CD/18/11445</w:t>
          </w:r>
          <w:r w:rsidRPr="00D67173">
            <w:rPr>
              <w:sz w:val="18"/>
              <w:szCs w:val="18"/>
            </w:rPr>
            <w:fldChar w:fldCharType="end"/>
          </w:r>
        </w:p>
      </w:tc>
      <w:tc>
        <w:tcPr>
          <w:tcW w:w="2500" w:type="pct"/>
          <w:shd w:val="clear" w:color="auto" w:fill="auto"/>
        </w:tcPr>
        <w:p w:rsidR="006E7B6E" w:rsidRPr="00D67173" w:rsidRDefault="006E7B6E" w:rsidP="00D67173">
          <w:pPr>
            <w:pStyle w:val="NoStyle"/>
            <w:jc w:val="right"/>
            <w:rPr>
              <w:sz w:val="18"/>
              <w:szCs w:val="18"/>
            </w:rPr>
          </w:pPr>
          <w:r w:rsidRPr="00D67173">
            <w:rPr>
              <w:sz w:val="18"/>
              <w:szCs w:val="18"/>
            </w:rPr>
            <w:t xml:space="preserve">Page </w:t>
          </w:r>
          <w:r w:rsidRPr="00D67173">
            <w:rPr>
              <w:sz w:val="18"/>
              <w:szCs w:val="18"/>
            </w:rPr>
            <w:fldChar w:fldCharType="begin"/>
          </w:r>
          <w:r w:rsidRPr="00D67173">
            <w:rPr>
              <w:sz w:val="18"/>
              <w:szCs w:val="18"/>
            </w:rPr>
            <w:instrText xml:space="preserve"> PAGE </w:instrText>
          </w:r>
          <w:r w:rsidRPr="00D67173">
            <w:rPr>
              <w:sz w:val="18"/>
              <w:szCs w:val="18"/>
            </w:rPr>
            <w:fldChar w:fldCharType="separate"/>
          </w:r>
          <w:r w:rsidR="00C7129B">
            <w:rPr>
              <w:noProof/>
              <w:sz w:val="18"/>
              <w:szCs w:val="18"/>
            </w:rPr>
            <w:t>2</w:t>
          </w:r>
          <w:r w:rsidRPr="00D67173">
            <w:rPr>
              <w:sz w:val="18"/>
              <w:szCs w:val="18"/>
            </w:rPr>
            <w:fldChar w:fldCharType="end"/>
          </w:r>
          <w:r w:rsidRPr="00D67173">
            <w:rPr>
              <w:sz w:val="18"/>
              <w:szCs w:val="18"/>
            </w:rPr>
            <w:t xml:space="preserve"> of </w:t>
          </w:r>
          <w:r w:rsidRPr="00D67173">
            <w:rPr>
              <w:sz w:val="18"/>
              <w:szCs w:val="18"/>
            </w:rPr>
            <w:fldChar w:fldCharType="begin"/>
          </w:r>
          <w:r w:rsidRPr="00D67173">
            <w:rPr>
              <w:sz w:val="18"/>
              <w:szCs w:val="18"/>
            </w:rPr>
            <w:instrText xml:space="preserve"> SectionPages </w:instrText>
          </w:r>
          <w:r w:rsidRPr="00D67173">
            <w:rPr>
              <w:sz w:val="18"/>
              <w:szCs w:val="18"/>
            </w:rPr>
            <w:fldChar w:fldCharType="separate"/>
          </w:r>
          <w:r w:rsidR="00C7129B">
            <w:rPr>
              <w:noProof/>
              <w:sz w:val="18"/>
              <w:szCs w:val="18"/>
            </w:rPr>
            <w:t>4</w:t>
          </w:r>
          <w:r w:rsidRPr="00D67173">
            <w:rPr>
              <w:sz w:val="18"/>
              <w:szCs w:val="18"/>
            </w:rPr>
            <w:fldChar w:fldCharType="end"/>
          </w:r>
        </w:p>
      </w:tc>
    </w:tr>
  </w:tbl>
  <w:p w:rsidR="006E7B6E" w:rsidRPr="00D7516F" w:rsidRDefault="00DC3365" w:rsidP="00D7516F">
    <w:pPr>
      <w:rPr>
        <w:sz w:val="10"/>
        <w:szCs w:val="18"/>
      </w:rPr>
    </w:pPr>
    <w:r>
      <w:rPr>
        <w:noProof/>
      </w:rPr>
      <w:drawing>
        <wp:anchor distT="0" distB="0" distL="114300" distR="114300" simplePos="0" relativeHeight="251655168" behindDoc="0" locked="1" layoutInCell="1" allowOverlap="1">
          <wp:simplePos x="0" y="0"/>
          <wp:positionH relativeFrom="page">
            <wp:posOffset>-41910</wp:posOffset>
          </wp:positionH>
          <wp:positionV relativeFrom="page">
            <wp:posOffset>10210800</wp:posOffset>
          </wp:positionV>
          <wp:extent cx="6296025" cy="314325"/>
          <wp:effectExtent l="0" t="0" r="9525" b="9525"/>
          <wp:wrapNone/>
          <wp:docPr id="5" name="Picture 38" descr="Letterhead bottom band -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etterhead bottom band - 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6A3" w:rsidRDefault="008B56A3">
      <w:r>
        <w:separator/>
      </w:r>
    </w:p>
    <w:p w:rsidR="008B56A3" w:rsidRDefault="008B56A3"/>
  </w:footnote>
  <w:footnote w:type="continuationSeparator" w:id="0">
    <w:p w:rsidR="008B56A3" w:rsidRDefault="008B56A3">
      <w:r>
        <w:continuationSeparator/>
      </w:r>
    </w:p>
    <w:p w:rsidR="008B56A3" w:rsidRDefault="008B56A3"/>
  </w:footnote>
  <w:footnote w:id="1">
    <w:p w:rsidR="003A7700" w:rsidRPr="00EF1327" w:rsidRDefault="003A7700" w:rsidP="003A7700">
      <w:pPr>
        <w:pStyle w:val="FootnoteText"/>
        <w:rPr>
          <w:lang w:val="en-US"/>
        </w:rPr>
      </w:pPr>
      <w:r>
        <w:rPr>
          <w:rStyle w:val="FootnoteReference"/>
        </w:rPr>
        <w:footnoteRef/>
      </w:r>
      <w:r>
        <w:t xml:space="preserve"> </w:t>
      </w:r>
      <w:r w:rsidRPr="003907E1">
        <w:rPr>
          <w:sz w:val="18"/>
          <w:szCs w:val="18"/>
        </w:rPr>
        <w:t xml:space="preserve">In this Information Sheet, </w:t>
      </w:r>
      <w:r w:rsidRPr="003907E1">
        <w:rPr>
          <w:sz w:val="18"/>
          <w:szCs w:val="18"/>
          <w:lang w:val="en-US"/>
        </w:rPr>
        <w:t>references to ‘</w:t>
      </w:r>
      <w:proofErr w:type="spellStart"/>
      <w:r w:rsidRPr="003907E1">
        <w:rPr>
          <w:sz w:val="18"/>
          <w:szCs w:val="18"/>
          <w:lang w:val="en-US"/>
        </w:rPr>
        <w:t>licence</w:t>
      </w:r>
      <w:proofErr w:type="spellEnd"/>
      <w:r w:rsidRPr="003907E1">
        <w:rPr>
          <w:sz w:val="18"/>
          <w:szCs w:val="18"/>
          <w:lang w:val="en-US"/>
        </w:rPr>
        <w:t>’ and ‘licensee’ also includes BYO permits and permittees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2F6" w:rsidRDefault="00DC3365">
    <w:pPr>
      <w:pStyle w:val="Header"/>
    </w:pPr>
    <w:r>
      <w:rPr>
        <w:noProof/>
      </w:rPr>
      <w:drawing>
        <wp:anchor distT="0" distB="0" distL="114300" distR="114300" simplePos="0" relativeHeight="251660288" behindDoc="1" locked="1" layoutInCell="1" allowOverlap="1">
          <wp:simplePos x="0" y="0"/>
          <wp:positionH relativeFrom="page">
            <wp:posOffset>5228590</wp:posOffset>
          </wp:positionH>
          <wp:positionV relativeFrom="page">
            <wp:posOffset>168910</wp:posOffset>
          </wp:positionV>
          <wp:extent cx="2349500" cy="113665"/>
          <wp:effectExtent l="0" t="0" r="0" b="635"/>
          <wp:wrapNone/>
          <wp:docPr id="6" name="Picture 37" descr="Letterhead top band - 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etterhead top band - gre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113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B6E" w:rsidRPr="00307824" w:rsidRDefault="00DC3365" w:rsidP="00665073">
    <w:pPr>
      <w:pStyle w:val="Header"/>
    </w:pPr>
    <w:r>
      <w:rPr>
        <w:noProof/>
      </w:rPr>
      <w:drawing>
        <wp:anchor distT="0" distB="0" distL="114300" distR="114300" simplePos="0" relativeHeight="251656192" behindDoc="0" locked="1" layoutInCell="1" allowOverlap="1">
          <wp:simplePos x="0" y="0"/>
          <wp:positionH relativeFrom="page">
            <wp:posOffset>-6985</wp:posOffset>
          </wp:positionH>
          <wp:positionV relativeFrom="page">
            <wp:posOffset>10210800</wp:posOffset>
          </wp:positionV>
          <wp:extent cx="6296025" cy="314325"/>
          <wp:effectExtent l="0" t="0" r="9525" b="9525"/>
          <wp:wrapNone/>
          <wp:docPr id="4" name="Picture 39" descr="Letterhead bottom band -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etterhead bottom band - 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page">
            <wp:posOffset>6682740</wp:posOffset>
          </wp:positionH>
          <wp:positionV relativeFrom="page">
            <wp:posOffset>10106660</wp:posOffset>
          </wp:positionV>
          <wp:extent cx="647700" cy="366395"/>
          <wp:effectExtent l="0" t="0" r="0" b="0"/>
          <wp:wrapNone/>
          <wp:docPr id="3" name="Picture 40" descr="VIC_LOGO_FA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VIC_LOGO_FA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1" layoutInCell="1" allowOverlap="1">
          <wp:simplePos x="0" y="0"/>
          <wp:positionH relativeFrom="page">
            <wp:posOffset>5380990</wp:posOffset>
          </wp:positionH>
          <wp:positionV relativeFrom="page">
            <wp:posOffset>158750</wp:posOffset>
          </wp:positionV>
          <wp:extent cx="2349500" cy="113665"/>
          <wp:effectExtent l="0" t="0" r="0" b="635"/>
          <wp:wrapNone/>
          <wp:docPr id="2" name="Picture 41" descr="Letterhead top band - 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etterhead top band - greyscal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950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1" layoutInCell="1" allowOverlap="1">
          <wp:simplePos x="0" y="0"/>
          <wp:positionH relativeFrom="page">
            <wp:posOffset>337185</wp:posOffset>
          </wp:positionH>
          <wp:positionV relativeFrom="page">
            <wp:posOffset>467995</wp:posOffset>
          </wp:positionV>
          <wp:extent cx="3430905" cy="528955"/>
          <wp:effectExtent l="0" t="0" r="0" b="4445"/>
          <wp:wrapNone/>
          <wp:docPr id="1" name="Picture 42" descr="VCGLR-horizontal-mono_71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CGLR-horizontal-mono_71_hi-r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30905" cy="52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30FC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E52A9A4"/>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3E06CFD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F252C30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6F8F6D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36A5D5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E0E2C00C"/>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1500B94"/>
    <w:multiLevelType w:val="multilevel"/>
    <w:tmpl w:val="35B24AE4"/>
    <w:styleLink w:val="CUNumber"/>
    <w:lvl w:ilvl="0">
      <w:start w:val="1"/>
      <w:numFmt w:val="decimal"/>
      <w:lvlText w:val="%1."/>
      <w:lvlJc w:val="left"/>
      <w:pPr>
        <w:tabs>
          <w:tab w:val="num" w:pos="964"/>
        </w:tabs>
        <w:ind w:left="964" w:hanging="964"/>
      </w:pPr>
      <w:rPr>
        <w:rFonts w:hint="default"/>
        <w:b w:val="0"/>
        <w:i w:val="0"/>
        <w:caps/>
        <w:sz w:val="20"/>
        <w:szCs w:val="22"/>
        <w:u w:val="none"/>
      </w:rPr>
    </w:lvl>
    <w:lvl w:ilvl="1">
      <w:start w:val="1"/>
      <w:numFmt w:val="decimal"/>
      <w:lvlText w:val="%1.%2"/>
      <w:lvlJc w:val="left"/>
      <w:pPr>
        <w:tabs>
          <w:tab w:val="num" w:pos="964"/>
        </w:tabs>
        <w:ind w:left="964" w:hanging="964"/>
      </w:pPr>
      <w:rPr>
        <w:rFonts w:ascii="Arial" w:hAnsi="Arial" w:hint="default"/>
        <w:b w:val="0"/>
        <w:i w:val="0"/>
        <w:sz w:val="20"/>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1"/>
        </w:tabs>
        <w:ind w:left="2891" w:hanging="963"/>
      </w:pPr>
      <w:rPr>
        <w:rFonts w:ascii="Arial" w:hAnsi="Arial" w:hint="default"/>
        <w:b w:val="0"/>
        <w:i w:val="0"/>
        <w:sz w:val="20"/>
        <w:u w:val="none"/>
      </w:rPr>
    </w:lvl>
    <w:lvl w:ilvl="4">
      <w:start w:val="1"/>
      <w:numFmt w:val="upperLetter"/>
      <w:lvlText w:val="%5."/>
      <w:lvlJc w:val="left"/>
      <w:pPr>
        <w:tabs>
          <w:tab w:val="num" w:pos="3855"/>
        </w:tabs>
        <w:ind w:left="3855" w:hanging="964"/>
      </w:pPr>
      <w:rPr>
        <w:rFonts w:ascii="Arial" w:hAnsi="Arial" w:hint="default"/>
        <w:b w:val="0"/>
        <w:i w:val="0"/>
        <w:sz w:val="20"/>
        <w:u w:val="none"/>
      </w:rPr>
    </w:lvl>
    <w:lvl w:ilvl="5">
      <w:start w:val="1"/>
      <w:numFmt w:val="decimal"/>
      <w:lvlText w:val="%6)"/>
      <w:lvlJc w:val="left"/>
      <w:pPr>
        <w:tabs>
          <w:tab w:val="num" w:pos="4819"/>
        </w:tabs>
        <w:ind w:left="4819" w:hanging="964"/>
      </w:pPr>
      <w:rPr>
        <w:rFonts w:ascii="Arial" w:hAnsi="Arial" w:hint="default"/>
        <w:b w:val="0"/>
        <w:i w:val="0"/>
        <w:sz w:val="20"/>
        <w:u w:val="none"/>
      </w:rPr>
    </w:lvl>
    <w:lvl w:ilvl="6">
      <w:start w:val="1"/>
      <w:numFmt w:val="lowerLetter"/>
      <w:lvlText w:val="%7)"/>
      <w:lvlJc w:val="left"/>
      <w:pPr>
        <w:tabs>
          <w:tab w:val="num" w:pos="5783"/>
        </w:tabs>
        <w:ind w:left="5783" w:hanging="964"/>
      </w:pPr>
      <w:rPr>
        <w:rFonts w:ascii="Arial" w:hAnsi="Arial" w:hint="default"/>
        <w:b w:val="0"/>
        <w:i w:val="0"/>
        <w:sz w:val="20"/>
        <w:u w:val="none"/>
      </w:rPr>
    </w:lvl>
    <w:lvl w:ilvl="7">
      <w:start w:val="1"/>
      <w:numFmt w:val="lowerRoman"/>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8" w15:restartNumberingAfterBreak="0">
    <w:nsid w:val="0A517A2B"/>
    <w:multiLevelType w:val="hybridMultilevel"/>
    <w:tmpl w:val="EA72A6E4"/>
    <w:lvl w:ilvl="0" w:tplc="027C8736">
      <w:start w:val="1"/>
      <w:numFmt w:val="bullet"/>
      <w:pStyle w:val="Bullettext"/>
      <w:lvlText w:val=""/>
      <w:lvlJc w:val="left"/>
      <w:pPr>
        <w:tabs>
          <w:tab w:val="num" w:pos="357"/>
        </w:tabs>
        <w:ind w:left="357" w:hanging="357"/>
      </w:pPr>
      <w:rPr>
        <w:rFonts w:ascii="Symbol" w:hAnsi="Symbol" w:hint="default"/>
      </w:rPr>
    </w:lvl>
    <w:lvl w:ilvl="1" w:tplc="29BC7E2E">
      <w:start w:val="1"/>
      <w:numFmt w:val="bullet"/>
      <w:pStyle w:val="Bullettext2"/>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0B5BF4"/>
    <w:multiLevelType w:val="multilevel"/>
    <w:tmpl w:val="0C09001F"/>
    <w:styleLink w:val="111111"/>
    <w:lvl w:ilvl="0">
      <w:start w:val="1"/>
      <w:numFmt w:val="decimal"/>
      <w:lvlText w:val="%1."/>
      <w:lvlJc w:val="left"/>
      <w:pPr>
        <w:tabs>
          <w:tab w:val="num" w:pos="360"/>
        </w:tabs>
        <w:ind w:left="360" w:hanging="360"/>
      </w:pPr>
      <w:rPr>
        <w:sz w:val="22"/>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15:restartNumberingAfterBreak="0">
    <w:nsid w:val="12656163"/>
    <w:multiLevelType w:val="multilevel"/>
    <w:tmpl w:val="0C090023"/>
    <w:styleLink w:val="ArticleSection"/>
    <w:lvl w:ilvl="0">
      <w:start w:val="1"/>
      <w:numFmt w:val="upperRoman"/>
      <w:lvlText w:val="Article %1."/>
      <w:lvlJc w:val="left"/>
      <w:pPr>
        <w:tabs>
          <w:tab w:val="num" w:pos="1800"/>
        </w:tabs>
        <w:ind w:left="0" w:firstLine="0"/>
      </w:pPr>
      <w:rPr>
        <w:sz w:val="22"/>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1729274E"/>
    <w:multiLevelType w:val="hybridMultilevel"/>
    <w:tmpl w:val="137827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18467C"/>
    <w:multiLevelType w:val="hybridMultilevel"/>
    <w:tmpl w:val="8EE8F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516556"/>
    <w:multiLevelType w:val="multilevel"/>
    <w:tmpl w:val="6B0AE56A"/>
    <w:lvl w:ilvl="0">
      <w:start w:val="1"/>
      <w:numFmt w:val="decimal"/>
      <w:pStyle w:val="ListNumber"/>
      <w:lvlText w:val="%1."/>
      <w:lvlJc w:val="left"/>
      <w:pPr>
        <w:tabs>
          <w:tab w:val="num" w:pos="360"/>
        </w:tabs>
        <w:ind w:left="360" w:hanging="360"/>
      </w:pPr>
      <w:rPr>
        <w:rFonts w:hint="default"/>
      </w:rPr>
    </w:lvl>
    <w:lvl w:ilvl="1">
      <w:start w:val="1"/>
      <w:numFmt w:val="lowerLetter"/>
      <w:pStyle w:val="ListNumber2"/>
      <w:lvlText w:val="(%2)"/>
      <w:lvlJc w:val="left"/>
      <w:pPr>
        <w:tabs>
          <w:tab w:val="num" w:pos="709"/>
        </w:tabs>
        <w:ind w:left="709" w:hanging="357"/>
      </w:pPr>
      <w:rPr>
        <w:rFonts w:hint="default"/>
      </w:rPr>
    </w:lvl>
    <w:lvl w:ilvl="2">
      <w:start w:val="1"/>
      <w:numFmt w:val="lowerRoman"/>
      <w:pStyle w:val="ListNumber3"/>
      <w:lvlText w:val="%3"/>
      <w:lvlJc w:val="left"/>
      <w:pPr>
        <w:tabs>
          <w:tab w:val="num" w:pos="1134"/>
        </w:tabs>
        <w:ind w:left="1134" w:hanging="425"/>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99C7B9E"/>
    <w:multiLevelType w:val="hybridMultilevel"/>
    <w:tmpl w:val="41D6F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750485"/>
    <w:multiLevelType w:val="hybridMultilevel"/>
    <w:tmpl w:val="0CC89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5FA5BE0"/>
    <w:multiLevelType w:val="hybridMultilevel"/>
    <w:tmpl w:val="C20C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661B5"/>
    <w:multiLevelType w:val="multilevel"/>
    <w:tmpl w:val="6BA65DA0"/>
    <w:lvl w:ilvl="0">
      <w:start w:val="1"/>
      <w:numFmt w:val="decimal"/>
      <w:lvlText w:val="%1."/>
      <w:lvlJc w:val="left"/>
      <w:pPr>
        <w:tabs>
          <w:tab w:val="num" w:pos="964"/>
        </w:tabs>
        <w:ind w:left="360" w:hanging="360"/>
      </w:pPr>
      <w:rPr>
        <w:rFonts w:hint="default"/>
        <w:b w:val="0"/>
        <w:i w:val="0"/>
        <w:caps/>
        <w:sz w:val="20"/>
        <w:szCs w:val="22"/>
        <w:u w:val="none"/>
      </w:rPr>
    </w:lvl>
    <w:lvl w:ilvl="1">
      <w:start w:val="1"/>
      <w:numFmt w:val="bullet"/>
      <w:lvlText w:val=""/>
      <w:lvlJc w:val="left"/>
      <w:pPr>
        <w:tabs>
          <w:tab w:val="num" w:pos="964"/>
        </w:tabs>
        <w:ind w:left="720" w:hanging="360"/>
      </w:pPr>
      <w:rPr>
        <w:rFonts w:ascii="Symbol" w:hAnsi="Symbol" w:hint="default"/>
        <w:b w:val="0"/>
        <w:i w:val="0"/>
        <w:color w:val="auto"/>
        <w:sz w:val="20"/>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1"/>
        </w:tabs>
        <w:ind w:left="2891" w:hanging="963"/>
      </w:pPr>
      <w:rPr>
        <w:rFonts w:ascii="Arial" w:hAnsi="Arial" w:hint="default"/>
        <w:b w:val="0"/>
        <w:i w:val="0"/>
        <w:sz w:val="20"/>
        <w:u w:val="none"/>
      </w:rPr>
    </w:lvl>
    <w:lvl w:ilvl="4">
      <w:start w:val="1"/>
      <w:numFmt w:val="upperLetter"/>
      <w:lvlText w:val="%5."/>
      <w:lvlJc w:val="left"/>
      <w:pPr>
        <w:tabs>
          <w:tab w:val="num" w:pos="3855"/>
        </w:tabs>
        <w:ind w:left="3855" w:hanging="964"/>
      </w:pPr>
      <w:rPr>
        <w:rFonts w:ascii="Arial" w:hAnsi="Arial" w:hint="default"/>
        <w:b w:val="0"/>
        <w:i w:val="0"/>
        <w:sz w:val="20"/>
        <w:u w:val="none"/>
      </w:rPr>
    </w:lvl>
    <w:lvl w:ilvl="5">
      <w:start w:val="1"/>
      <w:numFmt w:val="decimal"/>
      <w:lvlText w:val="%6)"/>
      <w:lvlJc w:val="left"/>
      <w:pPr>
        <w:tabs>
          <w:tab w:val="num" w:pos="4819"/>
        </w:tabs>
        <w:ind w:left="4819" w:hanging="964"/>
      </w:pPr>
      <w:rPr>
        <w:rFonts w:ascii="Arial" w:hAnsi="Arial" w:hint="default"/>
        <w:b w:val="0"/>
        <w:i w:val="0"/>
        <w:sz w:val="20"/>
        <w:u w:val="none"/>
      </w:rPr>
    </w:lvl>
    <w:lvl w:ilvl="6">
      <w:start w:val="1"/>
      <w:numFmt w:val="lowerLetter"/>
      <w:lvlText w:val="%7)"/>
      <w:lvlJc w:val="left"/>
      <w:pPr>
        <w:tabs>
          <w:tab w:val="num" w:pos="5783"/>
        </w:tabs>
        <w:ind w:left="5783" w:hanging="964"/>
      </w:pPr>
      <w:rPr>
        <w:rFonts w:ascii="Arial" w:hAnsi="Arial" w:hint="default"/>
        <w:b w:val="0"/>
        <w:i w:val="0"/>
        <w:sz w:val="20"/>
        <w:u w:val="none"/>
      </w:rPr>
    </w:lvl>
    <w:lvl w:ilvl="7">
      <w:start w:val="1"/>
      <w:numFmt w:val="lowerRoman"/>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9" w15:restartNumberingAfterBreak="0">
    <w:nsid w:val="5B980DA1"/>
    <w:multiLevelType w:val="multilevel"/>
    <w:tmpl w:val="0C09001D"/>
    <w:styleLink w:val="1ai"/>
    <w:lvl w:ilvl="0">
      <w:start w:val="1"/>
      <w:numFmt w:val="decimal"/>
      <w:lvlText w:val="%1)"/>
      <w:lvlJc w:val="left"/>
      <w:pPr>
        <w:tabs>
          <w:tab w:val="num" w:pos="360"/>
        </w:tabs>
        <w:ind w:left="360" w:hanging="360"/>
      </w:pPr>
      <w:rPr>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88D26AD"/>
    <w:multiLevelType w:val="multilevel"/>
    <w:tmpl w:val="E182FD5C"/>
    <w:lvl w:ilvl="0">
      <w:start w:val="1"/>
      <w:numFmt w:val="decimal"/>
      <w:pStyle w:val="CUNumber1"/>
      <w:lvlText w:val="%1."/>
      <w:lvlJc w:val="left"/>
      <w:pPr>
        <w:tabs>
          <w:tab w:val="num" w:pos="964"/>
        </w:tabs>
        <w:ind w:left="360" w:hanging="360"/>
      </w:pPr>
      <w:rPr>
        <w:rFonts w:hint="default"/>
        <w:b w:val="0"/>
        <w:i w:val="0"/>
        <w:caps/>
        <w:sz w:val="20"/>
        <w:szCs w:val="22"/>
        <w:u w:val="none"/>
      </w:rPr>
    </w:lvl>
    <w:lvl w:ilvl="1">
      <w:start w:val="1"/>
      <w:numFmt w:val="bullet"/>
      <w:pStyle w:val="CUNumber2"/>
      <w:lvlText w:val=""/>
      <w:lvlJc w:val="left"/>
      <w:pPr>
        <w:tabs>
          <w:tab w:val="num" w:pos="964"/>
        </w:tabs>
        <w:ind w:left="720" w:hanging="360"/>
      </w:pPr>
      <w:rPr>
        <w:rFonts w:ascii="Symbol" w:hAnsi="Symbol" w:hint="default"/>
        <w:b w:val="0"/>
        <w:i w:val="0"/>
        <w:color w:val="auto"/>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num w:numId="1">
    <w:abstractNumId w:va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19"/>
  </w:num>
  <w:num w:numId="6">
    <w:abstractNumId w:val="10"/>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7"/>
  </w:num>
  <w:num w:numId="15">
    <w:abstractNumId w:val="20"/>
  </w:num>
  <w:num w:numId="16">
    <w:abstractNumId w:val="18"/>
  </w:num>
  <w:num w:numId="17">
    <w:abstractNumId w:val="17"/>
  </w:num>
  <w:num w:numId="18">
    <w:abstractNumId w:val="16"/>
  </w:num>
  <w:num w:numId="19">
    <w:abstractNumId w:val="12"/>
  </w:num>
  <w:num w:numId="20">
    <w:abstractNumId w:val="11"/>
  </w:num>
  <w:num w:numId="21">
    <w:abstractNumId w:val="14"/>
  </w:num>
  <w:num w:numId="22">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DA"/>
    <w:rsid w:val="000035CA"/>
    <w:rsid w:val="000151D0"/>
    <w:rsid w:val="00016D0D"/>
    <w:rsid w:val="000515AC"/>
    <w:rsid w:val="0005784C"/>
    <w:rsid w:val="00072F8A"/>
    <w:rsid w:val="000752DE"/>
    <w:rsid w:val="000B094E"/>
    <w:rsid w:val="000E1ACA"/>
    <w:rsid w:val="000E2DCC"/>
    <w:rsid w:val="000E722A"/>
    <w:rsid w:val="00157497"/>
    <w:rsid w:val="00172495"/>
    <w:rsid w:val="001835DD"/>
    <w:rsid w:val="00192AAB"/>
    <w:rsid w:val="00193CA6"/>
    <w:rsid w:val="001A11E5"/>
    <w:rsid w:val="001A5B71"/>
    <w:rsid w:val="001B1AEB"/>
    <w:rsid w:val="001D4A34"/>
    <w:rsid w:val="001F09C9"/>
    <w:rsid w:val="001F1510"/>
    <w:rsid w:val="001F7105"/>
    <w:rsid w:val="00272811"/>
    <w:rsid w:val="002A13DD"/>
    <w:rsid w:val="002A25D7"/>
    <w:rsid w:val="002A4546"/>
    <w:rsid w:val="002C26C9"/>
    <w:rsid w:val="00330783"/>
    <w:rsid w:val="00353DEF"/>
    <w:rsid w:val="00361082"/>
    <w:rsid w:val="003656C2"/>
    <w:rsid w:val="003907E1"/>
    <w:rsid w:val="00391589"/>
    <w:rsid w:val="0039580E"/>
    <w:rsid w:val="003A1572"/>
    <w:rsid w:val="003A7700"/>
    <w:rsid w:val="003A7C68"/>
    <w:rsid w:val="003B7994"/>
    <w:rsid w:val="003B7AE8"/>
    <w:rsid w:val="003E7555"/>
    <w:rsid w:val="003F0148"/>
    <w:rsid w:val="004B284F"/>
    <w:rsid w:val="004B2D0B"/>
    <w:rsid w:val="004D73FB"/>
    <w:rsid w:val="004E5833"/>
    <w:rsid w:val="004F0000"/>
    <w:rsid w:val="005271C2"/>
    <w:rsid w:val="00562E56"/>
    <w:rsid w:val="005836EF"/>
    <w:rsid w:val="00583BAE"/>
    <w:rsid w:val="00590A59"/>
    <w:rsid w:val="00593D59"/>
    <w:rsid w:val="005A07AA"/>
    <w:rsid w:val="005A1BAC"/>
    <w:rsid w:val="005C63CD"/>
    <w:rsid w:val="005E0D8C"/>
    <w:rsid w:val="005F7CE3"/>
    <w:rsid w:val="00602D5B"/>
    <w:rsid w:val="0060616B"/>
    <w:rsid w:val="00611851"/>
    <w:rsid w:val="006267D2"/>
    <w:rsid w:val="006358B8"/>
    <w:rsid w:val="00637509"/>
    <w:rsid w:val="0064151B"/>
    <w:rsid w:val="00665073"/>
    <w:rsid w:val="006719B6"/>
    <w:rsid w:val="00690051"/>
    <w:rsid w:val="0069350D"/>
    <w:rsid w:val="006A473B"/>
    <w:rsid w:val="006C7363"/>
    <w:rsid w:val="006C78CD"/>
    <w:rsid w:val="006D0B54"/>
    <w:rsid w:val="006D0FF8"/>
    <w:rsid w:val="006E7B6E"/>
    <w:rsid w:val="006F4352"/>
    <w:rsid w:val="0071001D"/>
    <w:rsid w:val="007174EC"/>
    <w:rsid w:val="00722340"/>
    <w:rsid w:val="007331FF"/>
    <w:rsid w:val="00733CF0"/>
    <w:rsid w:val="00776275"/>
    <w:rsid w:val="007826EF"/>
    <w:rsid w:val="00783892"/>
    <w:rsid w:val="007A242C"/>
    <w:rsid w:val="007D1718"/>
    <w:rsid w:val="007D44E1"/>
    <w:rsid w:val="007D6028"/>
    <w:rsid w:val="007D60F3"/>
    <w:rsid w:val="007E0B3A"/>
    <w:rsid w:val="007E773A"/>
    <w:rsid w:val="007F1F07"/>
    <w:rsid w:val="007F568C"/>
    <w:rsid w:val="007F6D02"/>
    <w:rsid w:val="008016B3"/>
    <w:rsid w:val="00824006"/>
    <w:rsid w:val="00830181"/>
    <w:rsid w:val="00865A9A"/>
    <w:rsid w:val="0087092C"/>
    <w:rsid w:val="0088511F"/>
    <w:rsid w:val="00886D27"/>
    <w:rsid w:val="008901EE"/>
    <w:rsid w:val="008B56A3"/>
    <w:rsid w:val="008C52C9"/>
    <w:rsid w:val="008D1A0E"/>
    <w:rsid w:val="009030F6"/>
    <w:rsid w:val="009147FC"/>
    <w:rsid w:val="0092008E"/>
    <w:rsid w:val="009257C2"/>
    <w:rsid w:val="00934F5B"/>
    <w:rsid w:val="00947AD2"/>
    <w:rsid w:val="0096375D"/>
    <w:rsid w:val="009828F4"/>
    <w:rsid w:val="0098495D"/>
    <w:rsid w:val="00996809"/>
    <w:rsid w:val="009B01EA"/>
    <w:rsid w:val="009D5957"/>
    <w:rsid w:val="009F5B3C"/>
    <w:rsid w:val="00A114DA"/>
    <w:rsid w:val="00A12ED6"/>
    <w:rsid w:val="00A13451"/>
    <w:rsid w:val="00A173F5"/>
    <w:rsid w:val="00A35719"/>
    <w:rsid w:val="00A527F5"/>
    <w:rsid w:val="00A63CB6"/>
    <w:rsid w:val="00A9104F"/>
    <w:rsid w:val="00AC42D1"/>
    <w:rsid w:val="00AE29A8"/>
    <w:rsid w:val="00AE2EC9"/>
    <w:rsid w:val="00AE72F6"/>
    <w:rsid w:val="00B1061F"/>
    <w:rsid w:val="00B232BB"/>
    <w:rsid w:val="00B247CD"/>
    <w:rsid w:val="00B30EF2"/>
    <w:rsid w:val="00B349BC"/>
    <w:rsid w:val="00B64880"/>
    <w:rsid w:val="00B6685C"/>
    <w:rsid w:val="00B7478C"/>
    <w:rsid w:val="00B77840"/>
    <w:rsid w:val="00BA279E"/>
    <w:rsid w:val="00BB73E1"/>
    <w:rsid w:val="00BC4972"/>
    <w:rsid w:val="00BD02CA"/>
    <w:rsid w:val="00BD67E0"/>
    <w:rsid w:val="00C111CC"/>
    <w:rsid w:val="00C222B2"/>
    <w:rsid w:val="00C3050A"/>
    <w:rsid w:val="00C34E6F"/>
    <w:rsid w:val="00C47A66"/>
    <w:rsid w:val="00C54263"/>
    <w:rsid w:val="00C61D97"/>
    <w:rsid w:val="00C7129B"/>
    <w:rsid w:val="00C81957"/>
    <w:rsid w:val="00CB4858"/>
    <w:rsid w:val="00CC09C7"/>
    <w:rsid w:val="00CD2225"/>
    <w:rsid w:val="00CE515A"/>
    <w:rsid w:val="00D03F6A"/>
    <w:rsid w:val="00D11E80"/>
    <w:rsid w:val="00D3249C"/>
    <w:rsid w:val="00D44944"/>
    <w:rsid w:val="00D542B7"/>
    <w:rsid w:val="00D55511"/>
    <w:rsid w:val="00D623D1"/>
    <w:rsid w:val="00D67173"/>
    <w:rsid w:val="00D7516F"/>
    <w:rsid w:val="00DA4822"/>
    <w:rsid w:val="00DC3365"/>
    <w:rsid w:val="00DD0BF2"/>
    <w:rsid w:val="00DE7006"/>
    <w:rsid w:val="00DF4013"/>
    <w:rsid w:val="00E01D2F"/>
    <w:rsid w:val="00E01FDF"/>
    <w:rsid w:val="00E11C62"/>
    <w:rsid w:val="00E15845"/>
    <w:rsid w:val="00E248E9"/>
    <w:rsid w:val="00E341C4"/>
    <w:rsid w:val="00E41D25"/>
    <w:rsid w:val="00E429B3"/>
    <w:rsid w:val="00E45015"/>
    <w:rsid w:val="00E5321E"/>
    <w:rsid w:val="00E53C86"/>
    <w:rsid w:val="00E55C33"/>
    <w:rsid w:val="00E73EB6"/>
    <w:rsid w:val="00E8095F"/>
    <w:rsid w:val="00E9151D"/>
    <w:rsid w:val="00E9593B"/>
    <w:rsid w:val="00EA0317"/>
    <w:rsid w:val="00EA5602"/>
    <w:rsid w:val="00EB1C08"/>
    <w:rsid w:val="00EB33B3"/>
    <w:rsid w:val="00EB6B18"/>
    <w:rsid w:val="00EC080D"/>
    <w:rsid w:val="00EE5E9A"/>
    <w:rsid w:val="00EE5F46"/>
    <w:rsid w:val="00F010B6"/>
    <w:rsid w:val="00F120AE"/>
    <w:rsid w:val="00F17AEB"/>
    <w:rsid w:val="00F22672"/>
    <w:rsid w:val="00F34F41"/>
    <w:rsid w:val="00F36CF7"/>
    <w:rsid w:val="00F57227"/>
    <w:rsid w:val="00F83B92"/>
    <w:rsid w:val="00F85BB1"/>
    <w:rsid w:val="00FB4CC1"/>
    <w:rsid w:val="00FB5CB0"/>
    <w:rsid w:val="00FC5E08"/>
    <w:rsid w:val="00FE1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F5B3C"/>
    <w:rPr>
      <w:rFonts w:ascii="Arial" w:eastAsia="Times New Roman" w:hAnsi="Arial"/>
      <w:sz w:val="22"/>
      <w:szCs w:val="24"/>
      <w:lang w:val="en-AU" w:eastAsia="en-AU"/>
    </w:rPr>
  </w:style>
  <w:style w:type="paragraph" w:styleId="Heading1">
    <w:name w:val="heading 1"/>
    <w:next w:val="Normal"/>
    <w:qFormat/>
    <w:rsid w:val="00D7516F"/>
    <w:pPr>
      <w:keepNext/>
      <w:spacing w:before="240" w:after="240"/>
      <w:outlineLvl w:val="0"/>
    </w:pPr>
    <w:rPr>
      <w:rFonts w:ascii="Arial Bold" w:eastAsia="Times New Roman" w:hAnsi="Arial Bold" w:cs="Arial"/>
      <w:b/>
      <w:bCs/>
      <w:kern w:val="32"/>
      <w:sz w:val="32"/>
      <w:szCs w:val="32"/>
      <w:lang w:val="en-AU" w:eastAsia="en-AU"/>
    </w:rPr>
  </w:style>
  <w:style w:type="paragraph" w:styleId="Heading2">
    <w:name w:val="heading 2"/>
    <w:next w:val="Normal"/>
    <w:qFormat/>
    <w:rsid w:val="00D7516F"/>
    <w:pPr>
      <w:keepNext/>
      <w:keepLines/>
      <w:spacing w:before="180" w:after="120"/>
      <w:outlineLvl w:val="1"/>
    </w:pPr>
    <w:rPr>
      <w:rFonts w:ascii="Arial Bold" w:eastAsia="Times New Roman" w:hAnsi="Arial Bold"/>
      <w:b/>
      <w:sz w:val="22"/>
      <w:lang w:val="en-AU" w:eastAsia="en-AU"/>
    </w:rPr>
  </w:style>
  <w:style w:type="paragraph" w:styleId="Heading3">
    <w:name w:val="heading 3"/>
    <w:next w:val="Normal"/>
    <w:qFormat/>
    <w:rsid w:val="00D7516F"/>
    <w:pPr>
      <w:keepNext/>
      <w:spacing w:before="180" w:after="120"/>
      <w:outlineLvl w:val="2"/>
    </w:pPr>
    <w:rPr>
      <w:rFonts w:ascii="Arial" w:eastAsia="Times New Roman" w:hAnsi="Arial" w:cs="Arial"/>
      <w:b/>
      <w:bCs/>
      <w:i/>
      <w:sz w:val="18"/>
      <w:szCs w:val="26"/>
      <w:lang w:val="en-AU" w:eastAsia="en-AU"/>
    </w:rPr>
  </w:style>
  <w:style w:type="paragraph" w:styleId="Heading4">
    <w:name w:val="heading 4"/>
    <w:basedOn w:val="Normal"/>
    <w:next w:val="Normal"/>
    <w:qFormat/>
    <w:rsid w:val="00D7516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D7516F"/>
    <w:pPr>
      <w:numPr>
        <w:ilvl w:val="4"/>
        <w:numId w:val="6"/>
      </w:numPr>
      <w:spacing w:before="240" w:after="60"/>
      <w:outlineLvl w:val="4"/>
    </w:pPr>
    <w:rPr>
      <w:b/>
      <w:bCs/>
      <w:i/>
      <w:iCs/>
      <w:sz w:val="26"/>
      <w:szCs w:val="26"/>
    </w:rPr>
  </w:style>
  <w:style w:type="paragraph" w:styleId="Heading6">
    <w:name w:val="heading 6"/>
    <w:basedOn w:val="Normal"/>
    <w:next w:val="Normal"/>
    <w:qFormat/>
    <w:rsid w:val="00D7516F"/>
    <w:pPr>
      <w:numPr>
        <w:ilvl w:val="5"/>
        <w:numId w:val="6"/>
      </w:numPr>
      <w:spacing w:before="240" w:after="60"/>
      <w:outlineLvl w:val="5"/>
    </w:pPr>
    <w:rPr>
      <w:rFonts w:ascii="Times New Roman" w:hAnsi="Times New Roman"/>
      <w:b/>
      <w:bCs/>
      <w:szCs w:val="22"/>
    </w:rPr>
  </w:style>
  <w:style w:type="paragraph" w:styleId="Heading7">
    <w:name w:val="heading 7"/>
    <w:basedOn w:val="Normal"/>
    <w:next w:val="Normal"/>
    <w:qFormat/>
    <w:rsid w:val="00D7516F"/>
    <w:pPr>
      <w:numPr>
        <w:ilvl w:val="6"/>
        <w:numId w:val="6"/>
      </w:numPr>
      <w:spacing w:before="240" w:after="60"/>
      <w:outlineLvl w:val="6"/>
    </w:pPr>
    <w:rPr>
      <w:rFonts w:ascii="Times New Roman" w:hAnsi="Times New Roman"/>
      <w:sz w:val="24"/>
    </w:rPr>
  </w:style>
  <w:style w:type="paragraph" w:styleId="Heading8">
    <w:name w:val="heading 8"/>
    <w:basedOn w:val="Normal"/>
    <w:next w:val="Normal"/>
    <w:qFormat/>
    <w:rsid w:val="00D7516F"/>
    <w:pPr>
      <w:numPr>
        <w:ilvl w:val="7"/>
        <w:numId w:val="6"/>
      </w:numPr>
      <w:spacing w:before="240" w:after="60"/>
      <w:outlineLvl w:val="7"/>
    </w:pPr>
    <w:rPr>
      <w:rFonts w:ascii="Times New Roman" w:hAnsi="Times New Roman"/>
      <w:i/>
      <w:iCs/>
      <w:sz w:val="24"/>
    </w:rPr>
  </w:style>
  <w:style w:type="paragraph" w:styleId="Heading9">
    <w:name w:val="heading 9"/>
    <w:basedOn w:val="Normal"/>
    <w:next w:val="Normal"/>
    <w:qFormat/>
    <w:rsid w:val="00D7516F"/>
    <w:pPr>
      <w:numPr>
        <w:ilvl w:val="8"/>
        <w:numId w:val="6"/>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
    <w:name w:val="Bullet text"/>
    <w:rsid w:val="00665073"/>
    <w:pPr>
      <w:numPr>
        <w:numId w:val="1"/>
      </w:numPr>
      <w:spacing w:before="120" w:after="120"/>
    </w:pPr>
    <w:rPr>
      <w:rFonts w:ascii="Arial" w:eastAsia="Times New Roman" w:hAnsi="Arial"/>
      <w:sz w:val="22"/>
      <w:szCs w:val="24"/>
      <w:lang w:val="en-AU" w:eastAsia="en-AU"/>
    </w:rPr>
  </w:style>
  <w:style w:type="paragraph" w:customStyle="1" w:styleId="Bullettext2">
    <w:name w:val="Bullet text 2"/>
    <w:rsid w:val="00665073"/>
    <w:pPr>
      <w:numPr>
        <w:ilvl w:val="1"/>
        <w:numId w:val="1"/>
      </w:numPr>
      <w:tabs>
        <w:tab w:val="clear" w:pos="1440"/>
        <w:tab w:val="left" w:pos="692"/>
      </w:tabs>
      <w:ind w:left="692"/>
    </w:pPr>
    <w:rPr>
      <w:rFonts w:ascii="Arial" w:eastAsia="Times New Roman" w:hAnsi="Arial"/>
      <w:sz w:val="22"/>
      <w:szCs w:val="24"/>
      <w:lang w:val="en-AU" w:eastAsia="en-AU"/>
    </w:rPr>
  </w:style>
  <w:style w:type="paragraph" w:customStyle="1" w:styleId="Classification">
    <w:name w:val="Classification"/>
    <w:rsid w:val="00665073"/>
    <w:pPr>
      <w:jc w:val="center"/>
    </w:pPr>
    <w:rPr>
      <w:rFonts w:ascii="Arial Bold" w:eastAsia="Times New Roman" w:hAnsi="Arial Bold" w:cs="Helv"/>
      <w:b/>
      <w:caps/>
      <w:sz w:val="18"/>
      <w:lang w:val="en-AU" w:eastAsia="en-AU"/>
    </w:rPr>
  </w:style>
  <w:style w:type="paragraph" w:styleId="Footer">
    <w:name w:val="footer"/>
    <w:rsid w:val="00665073"/>
    <w:pPr>
      <w:tabs>
        <w:tab w:val="center" w:pos="4153"/>
        <w:tab w:val="right" w:pos="8306"/>
      </w:tabs>
    </w:pPr>
    <w:rPr>
      <w:rFonts w:ascii="Arial" w:eastAsia="Times New Roman" w:hAnsi="Arial"/>
      <w:sz w:val="22"/>
      <w:szCs w:val="24"/>
      <w:lang w:val="en-AU" w:eastAsia="en-AU"/>
    </w:rPr>
  </w:style>
  <w:style w:type="character" w:customStyle="1" w:styleId="FooterSmallText">
    <w:name w:val="Footer Small Text"/>
    <w:rsid w:val="00665073"/>
    <w:rPr>
      <w:rFonts w:ascii="Arial" w:hAnsi="Arial"/>
      <w:sz w:val="18"/>
    </w:rPr>
  </w:style>
  <w:style w:type="paragraph" w:styleId="Header">
    <w:name w:val="header"/>
    <w:basedOn w:val="Normal"/>
    <w:rsid w:val="00665073"/>
    <w:pPr>
      <w:ind w:left="-28"/>
    </w:pPr>
  </w:style>
  <w:style w:type="paragraph" w:customStyle="1" w:styleId="NoStyle">
    <w:name w:val="No Style"/>
    <w:link w:val="NoStyleChar"/>
    <w:rsid w:val="00665073"/>
    <w:rPr>
      <w:rFonts w:ascii="Arial" w:eastAsia="Times New Roman" w:hAnsi="Arial"/>
      <w:sz w:val="22"/>
      <w:szCs w:val="24"/>
      <w:lang w:val="en-AU" w:eastAsia="en-AU"/>
    </w:rPr>
  </w:style>
  <w:style w:type="paragraph" w:customStyle="1" w:styleId="Questions">
    <w:name w:val="Questions"/>
    <w:next w:val="Normal"/>
    <w:rsid w:val="00665073"/>
    <w:rPr>
      <w:rFonts w:ascii="Arial" w:eastAsia="Times New Roman" w:hAnsi="Arial"/>
      <w:b/>
      <w:sz w:val="22"/>
      <w:szCs w:val="24"/>
      <w:lang w:val="en-AU" w:eastAsia="en-AU"/>
    </w:rPr>
  </w:style>
  <w:style w:type="table" w:styleId="TableGrid">
    <w:name w:val="Table Grid"/>
    <w:basedOn w:val="TableNormal"/>
    <w:rsid w:val="0066507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RIMID">
    <w:name w:val="TRIM ID"/>
    <w:rsid w:val="00665073"/>
    <w:pPr>
      <w:spacing w:before="1000" w:after="120"/>
      <w:jc w:val="right"/>
    </w:pPr>
    <w:rPr>
      <w:rFonts w:ascii="Arial" w:eastAsia="Times New Roman" w:hAnsi="Arial"/>
      <w:sz w:val="22"/>
      <w:szCs w:val="24"/>
      <w:lang w:val="en-AU" w:eastAsia="en-AU"/>
    </w:rPr>
  </w:style>
  <w:style w:type="character" w:customStyle="1" w:styleId="NoStyleChar">
    <w:name w:val="No Style Char"/>
    <w:link w:val="NoStyle"/>
    <w:rsid w:val="00665073"/>
    <w:rPr>
      <w:rFonts w:ascii="Arial" w:hAnsi="Arial"/>
      <w:sz w:val="22"/>
      <w:szCs w:val="24"/>
      <w:lang w:val="en-AU" w:eastAsia="en-AU" w:bidi="ar-SA"/>
    </w:rPr>
  </w:style>
  <w:style w:type="paragraph" w:styleId="ListNumber">
    <w:name w:val="List Number"/>
    <w:rsid w:val="0088511F"/>
    <w:pPr>
      <w:numPr>
        <w:numId w:val="3"/>
      </w:numPr>
      <w:spacing w:after="120"/>
      <w:ind w:left="357" w:hanging="357"/>
    </w:pPr>
    <w:rPr>
      <w:rFonts w:ascii="Arial" w:eastAsia="Times New Roman" w:hAnsi="Arial"/>
      <w:sz w:val="22"/>
      <w:szCs w:val="24"/>
      <w:lang w:val="en-AU" w:eastAsia="en-AU"/>
    </w:rPr>
  </w:style>
  <w:style w:type="paragraph" w:styleId="ListNumber2">
    <w:name w:val="List Number 2"/>
    <w:rsid w:val="0088511F"/>
    <w:pPr>
      <w:numPr>
        <w:ilvl w:val="1"/>
        <w:numId w:val="3"/>
      </w:numPr>
      <w:spacing w:before="120" w:after="120"/>
    </w:pPr>
    <w:rPr>
      <w:rFonts w:ascii="Arial" w:eastAsia="Times New Roman" w:hAnsi="Arial"/>
      <w:sz w:val="22"/>
      <w:szCs w:val="24"/>
      <w:lang w:val="en-AU" w:eastAsia="en-AU"/>
    </w:rPr>
  </w:style>
  <w:style w:type="paragraph" w:styleId="ListNumber3">
    <w:name w:val="List Number 3"/>
    <w:rsid w:val="0088511F"/>
    <w:pPr>
      <w:numPr>
        <w:ilvl w:val="2"/>
        <w:numId w:val="3"/>
      </w:numPr>
      <w:spacing w:before="120" w:after="120"/>
    </w:pPr>
    <w:rPr>
      <w:rFonts w:ascii="Arial" w:eastAsia="Times New Roman" w:hAnsi="Arial"/>
      <w:sz w:val="22"/>
      <w:szCs w:val="24"/>
      <w:lang w:val="en-AU" w:eastAsia="en-AU"/>
    </w:rPr>
  </w:style>
  <w:style w:type="paragraph" w:styleId="BodyText">
    <w:name w:val="Body Text"/>
    <w:basedOn w:val="Normal"/>
    <w:rsid w:val="0088511F"/>
    <w:pPr>
      <w:spacing w:before="120" w:after="120"/>
    </w:pPr>
  </w:style>
  <w:style w:type="numbering" w:styleId="111111">
    <w:name w:val="Outline List 2"/>
    <w:basedOn w:val="NoList"/>
    <w:rsid w:val="00D7516F"/>
    <w:pPr>
      <w:numPr>
        <w:numId w:val="4"/>
      </w:numPr>
    </w:pPr>
  </w:style>
  <w:style w:type="numbering" w:styleId="1ai">
    <w:name w:val="Outline List 1"/>
    <w:basedOn w:val="NoList"/>
    <w:rsid w:val="00D7516F"/>
    <w:pPr>
      <w:numPr>
        <w:numId w:val="5"/>
      </w:numPr>
    </w:pPr>
  </w:style>
  <w:style w:type="numbering" w:styleId="ArticleSection">
    <w:name w:val="Outline List 3"/>
    <w:basedOn w:val="NoList"/>
    <w:rsid w:val="00D7516F"/>
    <w:pPr>
      <w:numPr>
        <w:numId w:val="6"/>
      </w:numPr>
    </w:pPr>
  </w:style>
  <w:style w:type="paragraph" w:styleId="BalloonText">
    <w:name w:val="Balloon Text"/>
    <w:basedOn w:val="Normal"/>
    <w:semiHidden/>
    <w:rsid w:val="00D7516F"/>
    <w:rPr>
      <w:rFonts w:ascii="Tahoma" w:hAnsi="Tahoma" w:cs="Tahoma"/>
      <w:sz w:val="18"/>
      <w:szCs w:val="16"/>
    </w:rPr>
  </w:style>
  <w:style w:type="paragraph" w:styleId="BlockText">
    <w:name w:val="Block Text"/>
    <w:basedOn w:val="Normal"/>
    <w:rsid w:val="00D7516F"/>
    <w:pPr>
      <w:spacing w:after="120"/>
      <w:ind w:left="1440" w:right="1440"/>
    </w:pPr>
  </w:style>
  <w:style w:type="paragraph" w:styleId="BodyText2">
    <w:name w:val="Body Text 2"/>
    <w:basedOn w:val="Normal"/>
    <w:rsid w:val="00D7516F"/>
    <w:pPr>
      <w:spacing w:after="120" w:line="480" w:lineRule="auto"/>
    </w:pPr>
  </w:style>
  <w:style w:type="paragraph" w:styleId="BodyText3">
    <w:name w:val="Body Text 3"/>
    <w:basedOn w:val="Normal"/>
    <w:rsid w:val="00D7516F"/>
    <w:pPr>
      <w:spacing w:after="120"/>
    </w:pPr>
    <w:rPr>
      <w:sz w:val="18"/>
      <w:szCs w:val="16"/>
    </w:rPr>
  </w:style>
  <w:style w:type="paragraph" w:styleId="BodyTextFirstIndent">
    <w:name w:val="Body Text First Indent"/>
    <w:basedOn w:val="BodyText"/>
    <w:rsid w:val="00D7516F"/>
    <w:pPr>
      <w:spacing w:before="0"/>
      <w:ind w:firstLine="210"/>
    </w:pPr>
  </w:style>
  <w:style w:type="paragraph" w:styleId="BodyTextIndent">
    <w:name w:val="Body Text Indent"/>
    <w:basedOn w:val="Normal"/>
    <w:rsid w:val="00D7516F"/>
    <w:pPr>
      <w:spacing w:after="120"/>
      <w:ind w:left="283"/>
    </w:pPr>
  </w:style>
  <w:style w:type="paragraph" w:styleId="BodyTextFirstIndent2">
    <w:name w:val="Body Text First Indent 2"/>
    <w:basedOn w:val="BodyTextIndent"/>
    <w:rsid w:val="00D7516F"/>
    <w:pPr>
      <w:ind w:firstLine="210"/>
    </w:pPr>
  </w:style>
  <w:style w:type="paragraph" w:styleId="BodyTextIndent2">
    <w:name w:val="Body Text Indent 2"/>
    <w:basedOn w:val="Normal"/>
    <w:rsid w:val="00D7516F"/>
    <w:pPr>
      <w:spacing w:after="120" w:line="480" w:lineRule="auto"/>
      <w:ind w:left="283"/>
    </w:pPr>
  </w:style>
  <w:style w:type="paragraph" w:styleId="BodyTextIndent3">
    <w:name w:val="Body Text Indent 3"/>
    <w:basedOn w:val="Normal"/>
    <w:rsid w:val="00D7516F"/>
    <w:pPr>
      <w:spacing w:after="120"/>
      <w:ind w:left="283"/>
    </w:pPr>
    <w:rPr>
      <w:sz w:val="18"/>
      <w:szCs w:val="16"/>
    </w:rPr>
  </w:style>
  <w:style w:type="paragraph" w:styleId="Caption">
    <w:name w:val="caption"/>
    <w:basedOn w:val="Normal"/>
    <w:next w:val="Normal"/>
    <w:qFormat/>
    <w:rsid w:val="00D7516F"/>
    <w:rPr>
      <w:b/>
      <w:bCs/>
      <w:szCs w:val="20"/>
    </w:rPr>
  </w:style>
  <w:style w:type="paragraph" w:styleId="Closing">
    <w:name w:val="Closing"/>
    <w:basedOn w:val="Normal"/>
    <w:rsid w:val="00D7516F"/>
    <w:pPr>
      <w:ind w:left="4252"/>
    </w:pPr>
  </w:style>
  <w:style w:type="character" w:styleId="CommentReference">
    <w:name w:val="annotation reference"/>
    <w:semiHidden/>
    <w:rsid w:val="00D7516F"/>
    <w:rPr>
      <w:sz w:val="18"/>
      <w:szCs w:val="16"/>
    </w:rPr>
  </w:style>
  <w:style w:type="paragraph" w:styleId="CommentText">
    <w:name w:val="annotation text"/>
    <w:basedOn w:val="Normal"/>
    <w:semiHidden/>
    <w:rsid w:val="00D7516F"/>
    <w:rPr>
      <w:szCs w:val="20"/>
    </w:rPr>
  </w:style>
  <w:style w:type="paragraph" w:styleId="CommentSubject">
    <w:name w:val="annotation subject"/>
    <w:basedOn w:val="CommentText"/>
    <w:next w:val="CommentText"/>
    <w:semiHidden/>
    <w:rsid w:val="00D7516F"/>
    <w:rPr>
      <w:b/>
      <w:bCs/>
    </w:rPr>
  </w:style>
  <w:style w:type="paragraph" w:styleId="Date">
    <w:name w:val="Date"/>
    <w:basedOn w:val="Normal"/>
    <w:next w:val="Normal"/>
    <w:rsid w:val="00D7516F"/>
  </w:style>
  <w:style w:type="paragraph" w:styleId="DocumentMap">
    <w:name w:val="Document Map"/>
    <w:basedOn w:val="Normal"/>
    <w:semiHidden/>
    <w:rsid w:val="00D7516F"/>
    <w:pPr>
      <w:shd w:val="clear" w:color="auto" w:fill="000080"/>
    </w:pPr>
    <w:rPr>
      <w:rFonts w:ascii="Tahoma" w:hAnsi="Tahoma" w:cs="Tahoma"/>
      <w:szCs w:val="20"/>
    </w:rPr>
  </w:style>
  <w:style w:type="paragraph" w:styleId="E-mailSignature">
    <w:name w:val="E-mail Signature"/>
    <w:basedOn w:val="Normal"/>
    <w:rsid w:val="00D7516F"/>
  </w:style>
  <w:style w:type="character" w:styleId="Emphasis">
    <w:name w:val="Emphasis"/>
    <w:qFormat/>
    <w:rsid w:val="00D7516F"/>
    <w:rPr>
      <w:i/>
      <w:iCs/>
      <w:sz w:val="22"/>
    </w:rPr>
  </w:style>
  <w:style w:type="character" w:styleId="EndnoteReference">
    <w:name w:val="endnote reference"/>
    <w:semiHidden/>
    <w:rsid w:val="00D7516F"/>
    <w:rPr>
      <w:sz w:val="22"/>
      <w:vertAlign w:val="superscript"/>
    </w:rPr>
  </w:style>
  <w:style w:type="paragraph" w:styleId="EndnoteText">
    <w:name w:val="endnote text"/>
    <w:basedOn w:val="Normal"/>
    <w:semiHidden/>
    <w:rsid w:val="00D7516F"/>
    <w:rPr>
      <w:szCs w:val="20"/>
    </w:rPr>
  </w:style>
  <w:style w:type="paragraph" w:styleId="EnvelopeAddress">
    <w:name w:val="envelope address"/>
    <w:basedOn w:val="Normal"/>
    <w:rsid w:val="00D7516F"/>
    <w:pPr>
      <w:framePr w:w="7920" w:h="1980" w:hRule="exact" w:hSpace="180" w:wrap="auto" w:hAnchor="page" w:xAlign="center" w:yAlign="bottom"/>
      <w:ind w:left="2880"/>
    </w:pPr>
    <w:rPr>
      <w:rFonts w:cs="Arial"/>
      <w:sz w:val="24"/>
    </w:rPr>
  </w:style>
  <w:style w:type="paragraph" w:styleId="EnvelopeReturn">
    <w:name w:val="envelope return"/>
    <w:basedOn w:val="Normal"/>
    <w:rsid w:val="00D7516F"/>
    <w:rPr>
      <w:rFonts w:cs="Arial"/>
      <w:szCs w:val="20"/>
    </w:rPr>
  </w:style>
  <w:style w:type="character" w:styleId="FollowedHyperlink">
    <w:name w:val="FollowedHyperlink"/>
    <w:rsid w:val="00D7516F"/>
    <w:rPr>
      <w:color w:val="800080"/>
      <w:sz w:val="22"/>
      <w:u w:val="single"/>
    </w:rPr>
  </w:style>
  <w:style w:type="character" w:styleId="FootnoteReference">
    <w:name w:val="footnote reference"/>
    <w:rsid w:val="00D7516F"/>
    <w:rPr>
      <w:sz w:val="22"/>
      <w:vertAlign w:val="superscript"/>
    </w:rPr>
  </w:style>
  <w:style w:type="paragraph" w:styleId="FootnoteText">
    <w:name w:val="footnote text"/>
    <w:basedOn w:val="Normal"/>
    <w:link w:val="FootnoteTextChar"/>
    <w:rsid w:val="00D7516F"/>
    <w:rPr>
      <w:szCs w:val="20"/>
    </w:rPr>
  </w:style>
  <w:style w:type="character" w:styleId="HTMLAcronym">
    <w:name w:val="HTML Acronym"/>
    <w:rsid w:val="00D7516F"/>
    <w:rPr>
      <w:sz w:val="22"/>
    </w:rPr>
  </w:style>
  <w:style w:type="paragraph" w:styleId="HTMLAddress">
    <w:name w:val="HTML Address"/>
    <w:basedOn w:val="Normal"/>
    <w:rsid w:val="00D7516F"/>
    <w:rPr>
      <w:i/>
      <w:iCs/>
    </w:rPr>
  </w:style>
  <w:style w:type="character" w:styleId="HTMLCite">
    <w:name w:val="HTML Cite"/>
    <w:rsid w:val="00D7516F"/>
    <w:rPr>
      <w:i/>
      <w:iCs/>
      <w:sz w:val="22"/>
    </w:rPr>
  </w:style>
  <w:style w:type="character" w:styleId="HTMLCode">
    <w:name w:val="HTML Code"/>
    <w:rsid w:val="00D7516F"/>
    <w:rPr>
      <w:rFonts w:ascii="Courier New" w:hAnsi="Courier New" w:cs="Courier New"/>
      <w:sz w:val="20"/>
      <w:szCs w:val="20"/>
    </w:rPr>
  </w:style>
  <w:style w:type="character" w:styleId="HTMLDefinition">
    <w:name w:val="HTML Definition"/>
    <w:rsid w:val="00D7516F"/>
    <w:rPr>
      <w:i/>
      <w:iCs/>
      <w:sz w:val="22"/>
    </w:rPr>
  </w:style>
  <w:style w:type="character" w:styleId="HTMLKeyboard">
    <w:name w:val="HTML Keyboard"/>
    <w:rsid w:val="00D7516F"/>
    <w:rPr>
      <w:rFonts w:ascii="Courier New" w:hAnsi="Courier New" w:cs="Courier New"/>
      <w:sz w:val="20"/>
      <w:szCs w:val="20"/>
    </w:rPr>
  </w:style>
  <w:style w:type="paragraph" w:styleId="HTMLPreformatted">
    <w:name w:val="HTML Preformatted"/>
    <w:basedOn w:val="Normal"/>
    <w:rsid w:val="00D7516F"/>
    <w:rPr>
      <w:rFonts w:ascii="Courier New" w:hAnsi="Courier New" w:cs="Courier New"/>
      <w:szCs w:val="20"/>
    </w:rPr>
  </w:style>
  <w:style w:type="character" w:styleId="HTMLSample">
    <w:name w:val="HTML Sample"/>
    <w:rsid w:val="00D7516F"/>
    <w:rPr>
      <w:rFonts w:ascii="Courier New" w:hAnsi="Courier New" w:cs="Courier New"/>
      <w:sz w:val="22"/>
    </w:rPr>
  </w:style>
  <w:style w:type="character" w:styleId="HTMLTypewriter">
    <w:name w:val="HTML Typewriter"/>
    <w:rsid w:val="00D7516F"/>
    <w:rPr>
      <w:rFonts w:ascii="Courier New" w:hAnsi="Courier New" w:cs="Courier New"/>
      <w:sz w:val="20"/>
      <w:szCs w:val="20"/>
    </w:rPr>
  </w:style>
  <w:style w:type="character" w:styleId="HTMLVariable">
    <w:name w:val="HTML Variable"/>
    <w:rsid w:val="00D7516F"/>
    <w:rPr>
      <w:i/>
      <w:iCs/>
      <w:sz w:val="22"/>
    </w:rPr>
  </w:style>
  <w:style w:type="character" w:styleId="Hyperlink">
    <w:name w:val="Hyperlink"/>
    <w:rsid w:val="00D7516F"/>
    <w:rPr>
      <w:color w:val="0000FF"/>
      <w:sz w:val="22"/>
      <w:u w:val="single"/>
    </w:rPr>
  </w:style>
  <w:style w:type="paragraph" w:styleId="Index1">
    <w:name w:val="index 1"/>
    <w:basedOn w:val="Normal"/>
    <w:next w:val="Normal"/>
    <w:autoRedefine/>
    <w:semiHidden/>
    <w:rsid w:val="00D7516F"/>
    <w:pPr>
      <w:ind w:left="200" w:hanging="200"/>
    </w:pPr>
  </w:style>
  <w:style w:type="paragraph" w:styleId="Index2">
    <w:name w:val="index 2"/>
    <w:basedOn w:val="Normal"/>
    <w:next w:val="Normal"/>
    <w:autoRedefine/>
    <w:semiHidden/>
    <w:rsid w:val="00D7516F"/>
    <w:pPr>
      <w:ind w:left="400" w:hanging="200"/>
    </w:pPr>
  </w:style>
  <w:style w:type="paragraph" w:styleId="Index3">
    <w:name w:val="index 3"/>
    <w:basedOn w:val="Normal"/>
    <w:next w:val="Normal"/>
    <w:autoRedefine/>
    <w:semiHidden/>
    <w:rsid w:val="00D7516F"/>
    <w:pPr>
      <w:ind w:left="600" w:hanging="200"/>
    </w:pPr>
  </w:style>
  <w:style w:type="paragraph" w:styleId="Index4">
    <w:name w:val="index 4"/>
    <w:basedOn w:val="Normal"/>
    <w:next w:val="Normal"/>
    <w:autoRedefine/>
    <w:semiHidden/>
    <w:rsid w:val="00D7516F"/>
    <w:pPr>
      <w:ind w:left="800" w:hanging="200"/>
    </w:pPr>
  </w:style>
  <w:style w:type="paragraph" w:styleId="Index5">
    <w:name w:val="index 5"/>
    <w:basedOn w:val="Normal"/>
    <w:next w:val="Normal"/>
    <w:autoRedefine/>
    <w:semiHidden/>
    <w:rsid w:val="00D7516F"/>
    <w:pPr>
      <w:ind w:left="1000" w:hanging="200"/>
    </w:pPr>
  </w:style>
  <w:style w:type="paragraph" w:styleId="Index6">
    <w:name w:val="index 6"/>
    <w:basedOn w:val="Normal"/>
    <w:next w:val="Normal"/>
    <w:autoRedefine/>
    <w:semiHidden/>
    <w:rsid w:val="00D7516F"/>
    <w:pPr>
      <w:ind w:left="1200" w:hanging="200"/>
    </w:pPr>
  </w:style>
  <w:style w:type="paragraph" w:styleId="Index7">
    <w:name w:val="index 7"/>
    <w:basedOn w:val="Normal"/>
    <w:next w:val="Normal"/>
    <w:autoRedefine/>
    <w:semiHidden/>
    <w:rsid w:val="00D7516F"/>
    <w:pPr>
      <w:ind w:left="1400" w:hanging="200"/>
    </w:pPr>
  </w:style>
  <w:style w:type="paragraph" w:styleId="Index8">
    <w:name w:val="index 8"/>
    <w:basedOn w:val="Normal"/>
    <w:next w:val="Normal"/>
    <w:autoRedefine/>
    <w:semiHidden/>
    <w:rsid w:val="00D7516F"/>
    <w:pPr>
      <w:ind w:left="1600" w:hanging="200"/>
    </w:pPr>
  </w:style>
  <w:style w:type="paragraph" w:styleId="Index9">
    <w:name w:val="index 9"/>
    <w:basedOn w:val="Normal"/>
    <w:next w:val="Normal"/>
    <w:autoRedefine/>
    <w:semiHidden/>
    <w:rsid w:val="00D7516F"/>
    <w:pPr>
      <w:ind w:left="1800" w:hanging="200"/>
    </w:pPr>
  </w:style>
  <w:style w:type="paragraph" w:styleId="IndexHeading">
    <w:name w:val="index heading"/>
    <w:basedOn w:val="Normal"/>
    <w:next w:val="Index1"/>
    <w:semiHidden/>
    <w:rsid w:val="00D7516F"/>
    <w:rPr>
      <w:rFonts w:cs="Arial"/>
      <w:b/>
      <w:bCs/>
    </w:rPr>
  </w:style>
  <w:style w:type="character" w:styleId="LineNumber">
    <w:name w:val="line number"/>
    <w:rsid w:val="00D7516F"/>
    <w:rPr>
      <w:sz w:val="22"/>
    </w:rPr>
  </w:style>
  <w:style w:type="paragraph" w:styleId="List">
    <w:name w:val="List"/>
    <w:basedOn w:val="Normal"/>
    <w:rsid w:val="00D7516F"/>
    <w:pPr>
      <w:ind w:left="283" w:hanging="283"/>
    </w:pPr>
  </w:style>
  <w:style w:type="paragraph" w:styleId="List2">
    <w:name w:val="List 2"/>
    <w:basedOn w:val="Normal"/>
    <w:rsid w:val="00D7516F"/>
    <w:pPr>
      <w:ind w:left="566" w:hanging="283"/>
    </w:pPr>
  </w:style>
  <w:style w:type="paragraph" w:styleId="List3">
    <w:name w:val="List 3"/>
    <w:basedOn w:val="Normal"/>
    <w:rsid w:val="00D7516F"/>
    <w:pPr>
      <w:ind w:left="849" w:hanging="283"/>
    </w:pPr>
  </w:style>
  <w:style w:type="paragraph" w:styleId="List4">
    <w:name w:val="List 4"/>
    <w:basedOn w:val="Normal"/>
    <w:rsid w:val="00D7516F"/>
    <w:pPr>
      <w:ind w:left="1132" w:hanging="283"/>
    </w:pPr>
  </w:style>
  <w:style w:type="paragraph" w:styleId="List5">
    <w:name w:val="List 5"/>
    <w:basedOn w:val="Normal"/>
    <w:rsid w:val="00D7516F"/>
    <w:pPr>
      <w:ind w:left="1415" w:hanging="283"/>
    </w:pPr>
  </w:style>
  <w:style w:type="paragraph" w:styleId="ListBullet">
    <w:name w:val="List Bullet"/>
    <w:basedOn w:val="Normal"/>
    <w:rsid w:val="00D7516F"/>
    <w:pPr>
      <w:numPr>
        <w:numId w:val="7"/>
      </w:numPr>
    </w:pPr>
  </w:style>
  <w:style w:type="paragraph" w:styleId="ListBullet2">
    <w:name w:val="List Bullet 2"/>
    <w:basedOn w:val="Normal"/>
    <w:rsid w:val="00D7516F"/>
    <w:pPr>
      <w:numPr>
        <w:numId w:val="8"/>
      </w:numPr>
    </w:pPr>
  </w:style>
  <w:style w:type="paragraph" w:styleId="ListBullet3">
    <w:name w:val="List Bullet 3"/>
    <w:basedOn w:val="Normal"/>
    <w:rsid w:val="00D7516F"/>
    <w:pPr>
      <w:numPr>
        <w:numId w:val="9"/>
      </w:numPr>
    </w:pPr>
  </w:style>
  <w:style w:type="paragraph" w:styleId="ListBullet4">
    <w:name w:val="List Bullet 4"/>
    <w:basedOn w:val="Normal"/>
    <w:rsid w:val="00D7516F"/>
    <w:pPr>
      <w:numPr>
        <w:numId w:val="10"/>
      </w:numPr>
    </w:pPr>
  </w:style>
  <w:style w:type="paragraph" w:styleId="ListBullet5">
    <w:name w:val="List Bullet 5"/>
    <w:basedOn w:val="Normal"/>
    <w:rsid w:val="00D7516F"/>
    <w:pPr>
      <w:numPr>
        <w:numId w:val="11"/>
      </w:numPr>
    </w:pPr>
  </w:style>
  <w:style w:type="paragraph" w:styleId="ListContinue">
    <w:name w:val="List Continue"/>
    <w:basedOn w:val="Normal"/>
    <w:rsid w:val="00D7516F"/>
    <w:pPr>
      <w:spacing w:after="120"/>
      <w:ind w:left="283"/>
    </w:pPr>
  </w:style>
  <w:style w:type="paragraph" w:styleId="ListContinue2">
    <w:name w:val="List Continue 2"/>
    <w:basedOn w:val="Normal"/>
    <w:rsid w:val="00D7516F"/>
    <w:pPr>
      <w:spacing w:after="120"/>
      <w:ind w:left="566"/>
    </w:pPr>
  </w:style>
  <w:style w:type="paragraph" w:styleId="ListContinue3">
    <w:name w:val="List Continue 3"/>
    <w:basedOn w:val="Normal"/>
    <w:rsid w:val="00D7516F"/>
    <w:pPr>
      <w:spacing w:after="120"/>
      <w:ind w:left="849"/>
    </w:pPr>
  </w:style>
  <w:style w:type="paragraph" w:styleId="ListContinue4">
    <w:name w:val="List Continue 4"/>
    <w:basedOn w:val="Normal"/>
    <w:rsid w:val="00D7516F"/>
    <w:pPr>
      <w:spacing w:after="120"/>
      <w:ind w:left="1132"/>
    </w:pPr>
  </w:style>
  <w:style w:type="paragraph" w:styleId="ListContinue5">
    <w:name w:val="List Continue 5"/>
    <w:basedOn w:val="Normal"/>
    <w:rsid w:val="00D7516F"/>
    <w:pPr>
      <w:spacing w:after="120"/>
      <w:ind w:left="1415"/>
    </w:pPr>
  </w:style>
  <w:style w:type="paragraph" w:styleId="ListNumber4">
    <w:name w:val="List Number 4"/>
    <w:basedOn w:val="Normal"/>
    <w:rsid w:val="00D7516F"/>
    <w:pPr>
      <w:numPr>
        <w:numId w:val="12"/>
      </w:numPr>
    </w:pPr>
  </w:style>
  <w:style w:type="paragraph" w:styleId="ListNumber5">
    <w:name w:val="List Number 5"/>
    <w:basedOn w:val="Normal"/>
    <w:rsid w:val="00D7516F"/>
    <w:pPr>
      <w:numPr>
        <w:numId w:val="13"/>
      </w:numPr>
    </w:pPr>
  </w:style>
  <w:style w:type="paragraph" w:styleId="MacroText">
    <w:name w:val="macro"/>
    <w:semiHidden/>
    <w:rsid w:val="00D7516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2"/>
      <w:lang w:val="en-AU" w:eastAsia="en-AU"/>
    </w:rPr>
  </w:style>
  <w:style w:type="paragraph" w:styleId="MessageHeader">
    <w:name w:val="Message Header"/>
    <w:basedOn w:val="Normal"/>
    <w:rsid w:val="00D7516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D7516F"/>
    <w:rPr>
      <w:rFonts w:ascii="Times New Roman" w:hAnsi="Times New Roman"/>
      <w:sz w:val="24"/>
    </w:rPr>
  </w:style>
  <w:style w:type="paragraph" w:styleId="NormalIndent">
    <w:name w:val="Normal Indent"/>
    <w:basedOn w:val="Normal"/>
    <w:rsid w:val="00D7516F"/>
    <w:pPr>
      <w:ind w:left="720"/>
    </w:pPr>
  </w:style>
  <w:style w:type="paragraph" w:styleId="NoteHeading">
    <w:name w:val="Note Heading"/>
    <w:basedOn w:val="Normal"/>
    <w:next w:val="Normal"/>
    <w:rsid w:val="00D7516F"/>
  </w:style>
  <w:style w:type="character" w:styleId="PageNumber">
    <w:name w:val="page number"/>
    <w:rsid w:val="00D7516F"/>
    <w:rPr>
      <w:sz w:val="22"/>
    </w:rPr>
  </w:style>
  <w:style w:type="paragraph" w:styleId="PlainText">
    <w:name w:val="Plain Text"/>
    <w:basedOn w:val="Normal"/>
    <w:rsid w:val="00D7516F"/>
    <w:rPr>
      <w:rFonts w:ascii="Courier New" w:hAnsi="Courier New" w:cs="Courier New"/>
      <w:szCs w:val="20"/>
    </w:rPr>
  </w:style>
  <w:style w:type="paragraph" w:styleId="Salutation">
    <w:name w:val="Salutation"/>
    <w:basedOn w:val="Normal"/>
    <w:next w:val="Normal"/>
    <w:rsid w:val="00D7516F"/>
  </w:style>
  <w:style w:type="paragraph" w:styleId="Signature">
    <w:name w:val="Signature"/>
    <w:basedOn w:val="Normal"/>
    <w:rsid w:val="00D7516F"/>
    <w:pPr>
      <w:ind w:left="4252"/>
    </w:pPr>
  </w:style>
  <w:style w:type="character" w:styleId="Strong">
    <w:name w:val="Strong"/>
    <w:qFormat/>
    <w:rsid w:val="00D7516F"/>
    <w:rPr>
      <w:b/>
      <w:bCs/>
      <w:sz w:val="22"/>
    </w:rPr>
  </w:style>
  <w:style w:type="paragraph" w:styleId="Subtitle">
    <w:name w:val="Subtitle"/>
    <w:basedOn w:val="Normal"/>
    <w:qFormat/>
    <w:rsid w:val="00D7516F"/>
    <w:pPr>
      <w:spacing w:after="60"/>
      <w:jc w:val="center"/>
      <w:outlineLvl w:val="1"/>
    </w:pPr>
    <w:rPr>
      <w:rFonts w:cs="Arial"/>
      <w:sz w:val="24"/>
    </w:rPr>
  </w:style>
  <w:style w:type="table" w:styleId="Table3Deffects1">
    <w:name w:val="Table 3D effects 1"/>
    <w:basedOn w:val="TableNormal"/>
    <w:rsid w:val="00D7516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7516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7516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7516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516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7516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7516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7516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7516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7516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7516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7516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7516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7516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7516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7516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7516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7516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7516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7516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7516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7516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7516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7516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7516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7516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7516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7516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7516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7516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7516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7516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7516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D7516F"/>
    <w:pPr>
      <w:ind w:left="220" w:hanging="220"/>
    </w:pPr>
  </w:style>
  <w:style w:type="paragraph" w:styleId="TableofFigures">
    <w:name w:val="table of figures"/>
    <w:basedOn w:val="Normal"/>
    <w:next w:val="Normal"/>
    <w:semiHidden/>
    <w:rsid w:val="00D7516F"/>
  </w:style>
  <w:style w:type="table" w:styleId="TableProfessional">
    <w:name w:val="Table Professional"/>
    <w:basedOn w:val="TableNormal"/>
    <w:rsid w:val="00D7516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7516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7516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7516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7516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7516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75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7516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7516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7516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7516F"/>
    <w:pPr>
      <w:spacing w:before="240" w:after="60"/>
      <w:jc w:val="center"/>
      <w:outlineLvl w:val="0"/>
    </w:pPr>
    <w:rPr>
      <w:rFonts w:cs="Arial"/>
      <w:b/>
      <w:bCs/>
      <w:kern w:val="28"/>
      <w:sz w:val="32"/>
      <w:szCs w:val="32"/>
    </w:rPr>
  </w:style>
  <w:style w:type="paragraph" w:styleId="TOAHeading">
    <w:name w:val="toa heading"/>
    <w:basedOn w:val="Normal"/>
    <w:next w:val="Normal"/>
    <w:semiHidden/>
    <w:rsid w:val="00D7516F"/>
    <w:pPr>
      <w:spacing w:before="120"/>
    </w:pPr>
    <w:rPr>
      <w:rFonts w:cs="Arial"/>
      <w:b/>
      <w:bCs/>
      <w:sz w:val="24"/>
    </w:rPr>
  </w:style>
  <w:style w:type="paragraph" w:styleId="TOC1">
    <w:name w:val="toc 1"/>
    <w:basedOn w:val="Normal"/>
    <w:next w:val="Normal"/>
    <w:autoRedefine/>
    <w:semiHidden/>
    <w:rsid w:val="00D7516F"/>
  </w:style>
  <w:style w:type="paragraph" w:styleId="TOC2">
    <w:name w:val="toc 2"/>
    <w:basedOn w:val="Normal"/>
    <w:next w:val="Normal"/>
    <w:autoRedefine/>
    <w:semiHidden/>
    <w:rsid w:val="00D7516F"/>
    <w:pPr>
      <w:ind w:left="220"/>
    </w:pPr>
  </w:style>
  <w:style w:type="paragraph" w:styleId="TOC3">
    <w:name w:val="toc 3"/>
    <w:basedOn w:val="Normal"/>
    <w:next w:val="Normal"/>
    <w:autoRedefine/>
    <w:semiHidden/>
    <w:rsid w:val="00D7516F"/>
    <w:pPr>
      <w:ind w:left="440"/>
    </w:pPr>
  </w:style>
  <w:style w:type="paragraph" w:styleId="TOC4">
    <w:name w:val="toc 4"/>
    <w:basedOn w:val="Normal"/>
    <w:next w:val="Normal"/>
    <w:autoRedefine/>
    <w:semiHidden/>
    <w:rsid w:val="00D7516F"/>
    <w:pPr>
      <w:ind w:left="660"/>
    </w:pPr>
  </w:style>
  <w:style w:type="paragraph" w:styleId="TOC5">
    <w:name w:val="toc 5"/>
    <w:basedOn w:val="Normal"/>
    <w:next w:val="Normal"/>
    <w:autoRedefine/>
    <w:semiHidden/>
    <w:rsid w:val="00D7516F"/>
    <w:pPr>
      <w:ind w:left="880"/>
    </w:pPr>
  </w:style>
  <w:style w:type="paragraph" w:styleId="TOC6">
    <w:name w:val="toc 6"/>
    <w:basedOn w:val="Normal"/>
    <w:next w:val="Normal"/>
    <w:autoRedefine/>
    <w:semiHidden/>
    <w:rsid w:val="00D7516F"/>
    <w:pPr>
      <w:ind w:left="1100"/>
    </w:pPr>
  </w:style>
  <w:style w:type="paragraph" w:styleId="TOC7">
    <w:name w:val="toc 7"/>
    <w:basedOn w:val="Normal"/>
    <w:next w:val="Normal"/>
    <w:autoRedefine/>
    <w:semiHidden/>
    <w:rsid w:val="00D7516F"/>
    <w:pPr>
      <w:ind w:left="1320"/>
    </w:pPr>
  </w:style>
  <w:style w:type="paragraph" w:styleId="TOC8">
    <w:name w:val="toc 8"/>
    <w:basedOn w:val="Normal"/>
    <w:next w:val="Normal"/>
    <w:autoRedefine/>
    <w:semiHidden/>
    <w:rsid w:val="00D7516F"/>
    <w:pPr>
      <w:ind w:left="1540"/>
    </w:pPr>
  </w:style>
  <w:style w:type="paragraph" w:styleId="TOC9">
    <w:name w:val="toc 9"/>
    <w:basedOn w:val="Normal"/>
    <w:next w:val="Normal"/>
    <w:autoRedefine/>
    <w:semiHidden/>
    <w:rsid w:val="00D7516F"/>
    <w:pPr>
      <w:ind w:left="1760"/>
    </w:pPr>
  </w:style>
  <w:style w:type="paragraph" w:styleId="Bibliography">
    <w:name w:val="Bibliography"/>
    <w:basedOn w:val="Normal"/>
    <w:next w:val="Normal"/>
    <w:uiPriority w:val="37"/>
    <w:semiHidden/>
    <w:unhideWhenUsed/>
    <w:rsid w:val="00AE72F6"/>
  </w:style>
  <w:style w:type="table" w:styleId="ColorfulGrid">
    <w:name w:val="Colorful Grid"/>
    <w:basedOn w:val="TableNormal"/>
    <w:uiPriority w:val="73"/>
    <w:rsid w:val="00AE72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AE72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AE72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AE72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AE72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AE72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AE72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AE72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AE72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AE72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AE72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AE72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AE72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AE72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AE72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AE72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AE72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AE72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AE72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AE72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AE72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AE72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AE72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AE72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AE72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AE72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AE72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AE72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IntenseQuote">
    <w:name w:val="Intense Quote"/>
    <w:basedOn w:val="Normal"/>
    <w:next w:val="Normal"/>
    <w:link w:val="IntenseQuoteChar"/>
    <w:uiPriority w:val="30"/>
    <w:qFormat/>
    <w:rsid w:val="00AE72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E72F6"/>
    <w:rPr>
      <w:rFonts w:ascii="Arial" w:eastAsia="Times New Roman" w:hAnsi="Arial"/>
      <w:b/>
      <w:bCs/>
      <w:i/>
      <w:iCs/>
      <w:color w:val="4F81BD"/>
      <w:sz w:val="22"/>
      <w:szCs w:val="24"/>
      <w:lang w:val="en-AU" w:eastAsia="en-AU"/>
    </w:rPr>
  </w:style>
  <w:style w:type="table" w:styleId="LightGrid">
    <w:name w:val="Light Grid"/>
    <w:basedOn w:val="TableNormal"/>
    <w:uiPriority w:val="62"/>
    <w:rsid w:val="00AE72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AE72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AE72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AE72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AE72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AE72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AE72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AE72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AE72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AE72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AE72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AE72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AE72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AE72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AE72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AE72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AE72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E72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AE72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E72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AE72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AE72F6"/>
    <w:pPr>
      <w:ind w:left="720"/>
    </w:pPr>
  </w:style>
  <w:style w:type="table" w:styleId="MediumGrid1">
    <w:name w:val="Medium Grid 1"/>
    <w:basedOn w:val="TableNormal"/>
    <w:uiPriority w:val="67"/>
    <w:rsid w:val="00AE72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AE72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AE72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AE72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AE72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AE72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AE72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AE72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AE72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AE72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AE72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AE72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AE72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AE72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AE72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AE72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AE72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AE72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AE72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AE72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AE72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AE72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AE72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AE72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AE72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AE72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AE72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AE72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AE72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AE72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AE72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AE72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AE72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AE72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AE72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AE72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E72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E72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E72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E72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E72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E72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AE72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E72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E72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E72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E72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E72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E72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AE72F6"/>
    <w:rPr>
      <w:rFonts w:ascii="Arial" w:eastAsia="Times New Roman" w:hAnsi="Arial"/>
      <w:sz w:val="22"/>
      <w:szCs w:val="24"/>
      <w:lang w:val="en-AU" w:eastAsia="en-AU"/>
    </w:rPr>
  </w:style>
  <w:style w:type="paragraph" w:styleId="Quote">
    <w:name w:val="Quote"/>
    <w:basedOn w:val="Normal"/>
    <w:next w:val="Normal"/>
    <w:link w:val="QuoteChar"/>
    <w:uiPriority w:val="29"/>
    <w:qFormat/>
    <w:rsid w:val="00AE72F6"/>
    <w:rPr>
      <w:i/>
      <w:iCs/>
      <w:color w:val="000000"/>
    </w:rPr>
  </w:style>
  <w:style w:type="character" w:customStyle="1" w:styleId="QuoteChar">
    <w:name w:val="Quote Char"/>
    <w:link w:val="Quote"/>
    <w:uiPriority w:val="29"/>
    <w:rsid w:val="00AE72F6"/>
    <w:rPr>
      <w:rFonts w:ascii="Arial" w:eastAsia="Times New Roman" w:hAnsi="Arial"/>
      <w:i/>
      <w:iCs/>
      <w:color w:val="000000"/>
      <w:sz w:val="22"/>
      <w:szCs w:val="24"/>
      <w:lang w:val="en-AU" w:eastAsia="en-AU"/>
    </w:rPr>
  </w:style>
  <w:style w:type="paragraph" w:styleId="TOCHeading">
    <w:name w:val="TOC Heading"/>
    <w:basedOn w:val="Heading1"/>
    <w:next w:val="Normal"/>
    <w:uiPriority w:val="39"/>
    <w:semiHidden/>
    <w:unhideWhenUsed/>
    <w:qFormat/>
    <w:rsid w:val="00AE72F6"/>
    <w:pPr>
      <w:spacing w:after="60"/>
      <w:outlineLvl w:val="9"/>
    </w:pPr>
    <w:rPr>
      <w:rFonts w:ascii="Cambria" w:hAnsi="Cambria" w:cs="Times New Roman"/>
    </w:rPr>
  </w:style>
  <w:style w:type="paragraph" w:customStyle="1" w:styleId="CUNumber1">
    <w:name w:val="CU_Number1"/>
    <w:basedOn w:val="Normal"/>
    <w:rsid w:val="00A114DA"/>
    <w:pPr>
      <w:numPr>
        <w:numId w:val="15"/>
      </w:numPr>
      <w:spacing w:after="240"/>
      <w:outlineLvl w:val="0"/>
    </w:pPr>
    <w:rPr>
      <w:sz w:val="20"/>
      <w:szCs w:val="20"/>
      <w:lang w:eastAsia="en-US"/>
    </w:rPr>
  </w:style>
  <w:style w:type="paragraph" w:customStyle="1" w:styleId="CUNumber2">
    <w:name w:val="CU_Number2"/>
    <w:basedOn w:val="Normal"/>
    <w:rsid w:val="00A114DA"/>
    <w:pPr>
      <w:numPr>
        <w:ilvl w:val="1"/>
        <w:numId w:val="15"/>
      </w:numPr>
      <w:spacing w:after="240"/>
      <w:outlineLvl w:val="1"/>
    </w:pPr>
    <w:rPr>
      <w:sz w:val="20"/>
      <w:szCs w:val="20"/>
      <w:lang w:eastAsia="en-US"/>
    </w:rPr>
  </w:style>
  <w:style w:type="paragraph" w:customStyle="1" w:styleId="CUNumber3">
    <w:name w:val="CU_Number3"/>
    <w:basedOn w:val="Normal"/>
    <w:rsid w:val="00A114DA"/>
    <w:pPr>
      <w:numPr>
        <w:ilvl w:val="2"/>
        <w:numId w:val="15"/>
      </w:numPr>
      <w:spacing w:after="240"/>
      <w:outlineLvl w:val="2"/>
    </w:pPr>
    <w:rPr>
      <w:sz w:val="20"/>
      <w:szCs w:val="20"/>
      <w:lang w:eastAsia="en-US"/>
    </w:rPr>
  </w:style>
  <w:style w:type="paragraph" w:customStyle="1" w:styleId="CUNumber4">
    <w:name w:val="CU_Number4"/>
    <w:basedOn w:val="Normal"/>
    <w:rsid w:val="00A114DA"/>
    <w:pPr>
      <w:numPr>
        <w:ilvl w:val="3"/>
        <w:numId w:val="15"/>
      </w:numPr>
      <w:spacing w:after="240"/>
      <w:outlineLvl w:val="3"/>
    </w:pPr>
    <w:rPr>
      <w:sz w:val="20"/>
      <w:szCs w:val="20"/>
      <w:lang w:eastAsia="en-US"/>
    </w:rPr>
  </w:style>
  <w:style w:type="paragraph" w:customStyle="1" w:styleId="CUNumber5">
    <w:name w:val="CU_Number5"/>
    <w:basedOn w:val="Normal"/>
    <w:rsid w:val="00A114DA"/>
    <w:pPr>
      <w:numPr>
        <w:ilvl w:val="4"/>
        <w:numId w:val="15"/>
      </w:numPr>
      <w:spacing w:after="240"/>
      <w:outlineLvl w:val="4"/>
    </w:pPr>
    <w:rPr>
      <w:sz w:val="20"/>
      <w:szCs w:val="20"/>
      <w:lang w:eastAsia="en-US"/>
    </w:rPr>
  </w:style>
  <w:style w:type="paragraph" w:customStyle="1" w:styleId="CUNumber6">
    <w:name w:val="CU_Number6"/>
    <w:basedOn w:val="Normal"/>
    <w:rsid w:val="00A114DA"/>
    <w:pPr>
      <w:numPr>
        <w:ilvl w:val="5"/>
        <w:numId w:val="15"/>
      </w:numPr>
      <w:spacing w:after="240"/>
      <w:outlineLvl w:val="5"/>
    </w:pPr>
    <w:rPr>
      <w:sz w:val="20"/>
      <w:szCs w:val="20"/>
      <w:lang w:eastAsia="en-US"/>
    </w:rPr>
  </w:style>
  <w:style w:type="paragraph" w:customStyle="1" w:styleId="CUNumber7">
    <w:name w:val="CU_Number7"/>
    <w:basedOn w:val="Normal"/>
    <w:rsid w:val="00A114DA"/>
    <w:pPr>
      <w:numPr>
        <w:ilvl w:val="6"/>
        <w:numId w:val="15"/>
      </w:numPr>
      <w:spacing w:after="240"/>
      <w:outlineLvl w:val="6"/>
    </w:pPr>
    <w:rPr>
      <w:sz w:val="20"/>
      <w:szCs w:val="20"/>
      <w:lang w:eastAsia="en-US"/>
    </w:rPr>
  </w:style>
  <w:style w:type="paragraph" w:customStyle="1" w:styleId="CUNumber8">
    <w:name w:val="CU_Number8"/>
    <w:basedOn w:val="Normal"/>
    <w:rsid w:val="00A114DA"/>
    <w:pPr>
      <w:numPr>
        <w:ilvl w:val="7"/>
        <w:numId w:val="15"/>
      </w:numPr>
      <w:spacing w:after="240"/>
      <w:outlineLvl w:val="7"/>
    </w:pPr>
    <w:rPr>
      <w:sz w:val="20"/>
      <w:szCs w:val="20"/>
      <w:lang w:eastAsia="en-US"/>
    </w:rPr>
  </w:style>
  <w:style w:type="numbering" w:customStyle="1" w:styleId="CUNumber">
    <w:name w:val="CU_Number"/>
    <w:uiPriority w:val="99"/>
    <w:rsid w:val="00A114DA"/>
    <w:pPr>
      <w:numPr>
        <w:numId w:val="14"/>
      </w:numPr>
    </w:pPr>
  </w:style>
  <w:style w:type="paragraph" w:customStyle="1" w:styleId="CUTableBullet1">
    <w:name w:val="CU_Table Bullet1"/>
    <w:basedOn w:val="Normal"/>
    <w:qFormat/>
    <w:rsid w:val="00733CF0"/>
    <w:pPr>
      <w:numPr>
        <w:numId w:val="18"/>
      </w:numPr>
      <w:spacing w:after="240"/>
    </w:pPr>
    <w:rPr>
      <w:sz w:val="20"/>
      <w:szCs w:val="20"/>
      <w:lang w:eastAsia="en-US"/>
    </w:rPr>
  </w:style>
  <w:style w:type="paragraph" w:customStyle="1" w:styleId="CUTableBullet2">
    <w:name w:val="CU_Table Bullet2"/>
    <w:basedOn w:val="Normal"/>
    <w:qFormat/>
    <w:rsid w:val="00733CF0"/>
    <w:pPr>
      <w:numPr>
        <w:ilvl w:val="1"/>
        <w:numId w:val="18"/>
      </w:numPr>
      <w:spacing w:after="240"/>
    </w:pPr>
    <w:rPr>
      <w:sz w:val="20"/>
      <w:szCs w:val="20"/>
      <w:lang w:eastAsia="en-US"/>
    </w:rPr>
  </w:style>
  <w:style w:type="paragraph" w:customStyle="1" w:styleId="CUTableBullet3">
    <w:name w:val="CU_Table Bullet3"/>
    <w:basedOn w:val="Normal"/>
    <w:qFormat/>
    <w:rsid w:val="00733CF0"/>
    <w:pPr>
      <w:numPr>
        <w:ilvl w:val="2"/>
        <w:numId w:val="18"/>
      </w:numPr>
      <w:spacing w:after="240"/>
    </w:pPr>
    <w:rPr>
      <w:sz w:val="20"/>
      <w:szCs w:val="20"/>
      <w:lang w:eastAsia="en-US"/>
    </w:rPr>
  </w:style>
  <w:style w:type="numbering" w:customStyle="1" w:styleId="CUTableBullet">
    <w:name w:val="CUTable Bullet"/>
    <w:uiPriority w:val="99"/>
    <w:rsid w:val="00733CF0"/>
    <w:pPr>
      <w:numPr>
        <w:numId w:val="18"/>
      </w:numPr>
    </w:pPr>
  </w:style>
  <w:style w:type="character" w:customStyle="1" w:styleId="FootnoteTextChar">
    <w:name w:val="Footnote Text Char"/>
    <w:basedOn w:val="DefaultParagraphFont"/>
    <w:link w:val="FootnoteText"/>
    <w:rsid w:val="003A7700"/>
    <w:rPr>
      <w:rFonts w:ascii="Arial" w:eastAsia="Times New Roman" w:hAnsi="Arial"/>
      <w:sz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cglr.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cglr.vic.gov.au/liquor-licence-application-fees-and-timin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246BD-12CC-4FC1-81E3-7C38F1DD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Information_Sheet_-_Appeals_against_casino_exclusion_orders</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Information_Sheet_-_Appeals_against_casino_exclusion_orders</dc:title>
  <dc:subject/>
  <dc:creator/>
  <cp:keywords/>
  <cp:lastModifiedBy/>
  <cp:revision>1</cp:revision>
  <dcterms:created xsi:type="dcterms:W3CDTF">2018-05-16T04:47:00Z</dcterms:created>
  <dcterms:modified xsi:type="dcterms:W3CDTF">2018-05-16T05:06:00Z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CD/18/11445</vt:lpwstr>
  </property>
</Properties>
</file>