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A880" w14:textId="77777777" w:rsidR="00682F8F" w:rsidRPr="00F16E99" w:rsidRDefault="00682F8F" w:rsidP="00682F8F">
      <w:pPr>
        <w:pStyle w:val="Heading4"/>
      </w:pPr>
      <w:r>
        <w:t>Gambling fact sheet</w:t>
      </w:r>
    </w:p>
    <w:p w14:paraId="0037FC30" w14:textId="21C8C567" w:rsidR="00682F8F" w:rsidRPr="009C5D64" w:rsidRDefault="00682F8F" w:rsidP="00682F8F">
      <w:pPr>
        <w:pStyle w:val="Heading1"/>
      </w:pPr>
      <w:r>
        <w:t>Gambling fees (from 1 July 2023)</w:t>
      </w:r>
    </w:p>
    <w:p w14:paraId="7ED26E10" w14:textId="77777777" w:rsidR="00682F8F" w:rsidRPr="0060029F" w:rsidRDefault="00682F8F" w:rsidP="00682F8F">
      <w:pPr>
        <w:pStyle w:val="Heading2"/>
      </w:pPr>
      <w:r>
        <w:t>Industry licences</w:t>
      </w:r>
    </w:p>
    <w:tbl>
      <w:tblPr>
        <w:tblStyle w:val="TableGrid"/>
        <w:tblW w:w="4717" w:type="pct"/>
        <w:tblLayout w:type="fixed"/>
        <w:tblLook w:val="0020" w:firstRow="1" w:lastRow="0" w:firstColumn="0" w:lastColumn="0" w:noHBand="0" w:noVBand="0"/>
      </w:tblPr>
      <w:tblGrid>
        <w:gridCol w:w="7718"/>
        <w:gridCol w:w="1903"/>
      </w:tblGrid>
      <w:tr w:rsidR="00682F8F" w:rsidRPr="0089247B" w14:paraId="46323FA2" w14:textId="77777777" w:rsidTr="00682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11" w:type="pct"/>
          </w:tcPr>
          <w:p w14:paraId="69D55798" w14:textId="77777777" w:rsidR="00682F8F" w:rsidRPr="0089247B" w:rsidRDefault="00682F8F" w:rsidP="00AB6F36">
            <w:r>
              <w:t>Venue operators</w:t>
            </w:r>
          </w:p>
        </w:tc>
        <w:tc>
          <w:tcPr>
            <w:tcW w:w="989" w:type="pct"/>
          </w:tcPr>
          <w:p w14:paraId="388E4D24" w14:textId="77777777" w:rsidR="00682F8F" w:rsidRPr="0089247B" w:rsidRDefault="00682F8F" w:rsidP="00AB6F36"/>
        </w:tc>
      </w:tr>
      <w:tr w:rsidR="00682F8F" w:rsidRPr="0089247B" w14:paraId="5F3D3013" w14:textId="77777777" w:rsidTr="0068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11" w:type="pct"/>
          </w:tcPr>
          <w:p w14:paraId="10C016BA" w14:textId="77777777" w:rsidR="00682F8F" w:rsidRPr="00242D30" w:rsidRDefault="00682F8F" w:rsidP="00682F8F">
            <w:pPr>
              <w:pStyle w:val="TableText"/>
            </w:pPr>
            <w:r w:rsidRPr="00242D30">
              <w:t>Approval of premises</w:t>
            </w:r>
          </w:p>
        </w:tc>
        <w:tc>
          <w:tcPr>
            <w:tcW w:w="989" w:type="pct"/>
          </w:tcPr>
          <w:p w14:paraId="34348E20" w14:textId="394E7660" w:rsidR="00682F8F" w:rsidRPr="00242D30" w:rsidRDefault="00682F8F" w:rsidP="003A42FE">
            <w:pPr>
              <w:pStyle w:val="TableText"/>
              <w:jc w:val="right"/>
            </w:pPr>
            <w:r w:rsidRPr="00242D30">
              <w:t>$13,</w:t>
            </w:r>
            <w:r w:rsidR="003A42FE">
              <w:t>936.00</w:t>
            </w:r>
          </w:p>
        </w:tc>
      </w:tr>
      <w:tr w:rsidR="00682F8F" w:rsidRPr="0089247B" w14:paraId="2A99BE1B" w14:textId="77777777" w:rsidTr="00682F8F">
        <w:tc>
          <w:tcPr>
            <w:tcW w:w="4011" w:type="pct"/>
          </w:tcPr>
          <w:p w14:paraId="496A298F" w14:textId="77777777" w:rsidR="00682F8F" w:rsidRPr="00242D30" w:rsidRDefault="00682F8F" w:rsidP="00682F8F">
            <w:pPr>
              <w:pStyle w:val="TableText"/>
            </w:pPr>
            <w:r w:rsidRPr="00242D30">
              <w:t>New venue operator’s licence</w:t>
            </w:r>
          </w:p>
        </w:tc>
        <w:tc>
          <w:tcPr>
            <w:tcW w:w="989" w:type="pct"/>
          </w:tcPr>
          <w:p w14:paraId="08C938EE" w14:textId="7EF89184" w:rsidR="00682F8F" w:rsidRPr="00242D30" w:rsidRDefault="00682F8F" w:rsidP="003A42FE">
            <w:pPr>
              <w:pStyle w:val="TableText"/>
              <w:jc w:val="right"/>
            </w:pPr>
            <w:r w:rsidRPr="00242D30">
              <w:t>$2,</w:t>
            </w:r>
            <w:r w:rsidR="003A42FE">
              <w:t>458.00</w:t>
            </w:r>
          </w:p>
        </w:tc>
      </w:tr>
      <w:tr w:rsidR="00682F8F" w:rsidRPr="0089247B" w14:paraId="5D9F6F63" w14:textId="77777777" w:rsidTr="0068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11" w:type="pct"/>
          </w:tcPr>
          <w:p w14:paraId="671EDBC3" w14:textId="77777777" w:rsidR="00682F8F" w:rsidRPr="00242D30" w:rsidRDefault="00682F8F" w:rsidP="00682F8F">
            <w:pPr>
              <w:pStyle w:val="TableText"/>
            </w:pPr>
            <w:r w:rsidRPr="00242D30">
              <w:t>Renewal of a venue operator’s licence</w:t>
            </w:r>
          </w:p>
        </w:tc>
        <w:tc>
          <w:tcPr>
            <w:tcW w:w="989" w:type="pct"/>
          </w:tcPr>
          <w:p w14:paraId="25E1AC65" w14:textId="50EBC0C5" w:rsidR="00682F8F" w:rsidRPr="00242D30" w:rsidRDefault="00682F8F" w:rsidP="003A42FE">
            <w:pPr>
              <w:pStyle w:val="TableText"/>
              <w:jc w:val="right"/>
            </w:pPr>
            <w:r w:rsidRPr="00242D30">
              <w:t>$1,</w:t>
            </w:r>
            <w:r w:rsidR="003A42FE">
              <w:t>358.30</w:t>
            </w:r>
          </w:p>
        </w:tc>
      </w:tr>
      <w:tr w:rsidR="00682F8F" w:rsidRPr="0089247B" w14:paraId="662E9D84" w14:textId="77777777" w:rsidTr="00682F8F">
        <w:tc>
          <w:tcPr>
            <w:tcW w:w="4011" w:type="pct"/>
          </w:tcPr>
          <w:p w14:paraId="48811ADB" w14:textId="77777777" w:rsidR="00682F8F" w:rsidRPr="00242D30" w:rsidRDefault="00682F8F" w:rsidP="00682F8F">
            <w:pPr>
              <w:pStyle w:val="TableText"/>
            </w:pPr>
            <w:r w:rsidRPr="00242D30">
              <w:t>Application for approval of a nominee</w:t>
            </w:r>
          </w:p>
        </w:tc>
        <w:tc>
          <w:tcPr>
            <w:tcW w:w="989" w:type="pct"/>
          </w:tcPr>
          <w:p w14:paraId="1BF020FF" w14:textId="132E1989" w:rsidR="00682F8F" w:rsidRPr="00242D30" w:rsidRDefault="00682F8F" w:rsidP="003A42FE">
            <w:pPr>
              <w:pStyle w:val="TableText"/>
              <w:jc w:val="right"/>
            </w:pPr>
            <w:r w:rsidRPr="00242D30">
              <w:t>$1</w:t>
            </w:r>
            <w:r w:rsidR="003A42FE">
              <w:t>64</w:t>
            </w:r>
            <w:r w:rsidRPr="00242D30">
              <w:t>.90</w:t>
            </w:r>
          </w:p>
        </w:tc>
      </w:tr>
      <w:tr w:rsidR="00682F8F" w:rsidRPr="0089247B" w14:paraId="3918BAAF" w14:textId="77777777" w:rsidTr="0068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11" w:type="pct"/>
          </w:tcPr>
          <w:p w14:paraId="255DCAB7" w14:textId="77777777" w:rsidR="00682F8F" w:rsidRPr="00242D30" w:rsidRDefault="00682F8F" w:rsidP="00682F8F">
            <w:pPr>
              <w:pStyle w:val="TableText"/>
            </w:pPr>
            <w:r w:rsidRPr="00242D30">
              <w:t>Amendment to add premises</w:t>
            </w:r>
          </w:p>
        </w:tc>
        <w:tc>
          <w:tcPr>
            <w:tcW w:w="989" w:type="pct"/>
          </w:tcPr>
          <w:p w14:paraId="1A368854" w14:textId="319AE1C3" w:rsidR="00682F8F" w:rsidRPr="00242D30" w:rsidRDefault="00682F8F" w:rsidP="003A42FE">
            <w:pPr>
              <w:pStyle w:val="TableText"/>
              <w:jc w:val="right"/>
            </w:pPr>
            <w:r w:rsidRPr="00242D30">
              <w:t>$32</w:t>
            </w:r>
            <w:r w:rsidR="003A42FE">
              <w:t>0</w:t>
            </w:r>
            <w:r w:rsidRPr="00242D30">
              <w:t>.</w:t>
            </w:r>
            <w:r w:rsidR="003A42FE">
              <w:t>1</w:t>
            </w:r>
            <w:r w:rsidRPr="00242D30">
              <w:t>0</w:t>
            </w:r>
          </w:p>
        </w:tc>
      </w:tr>
      <w:tr w:rsidR="00682F8F" w:rsidRPr="0089247B" w14:paraId="59A57D15" w14:textId="77777777" w:rsidTr="00682F8F">
        <w:tc>
          <w:tcPr>
            <w:tcW w:w="4011" w:type="pct"/>
          </w:tcPr>
          <w:p w14:paraId="04BE9FF3" w14:textId="4ED497A5" w:rsidR="00682F8F" w:rsidRPr="00242D30" w:rsidRDefault="00682F8F" w:rsidP="00682F8F">
            <w:pPr>
              <w:pStyle w:val="TableText"/>
            </w:pPr>
            <w:r w:rsidRPr="00242D30">
              <w:t xml:space="preserve">Amendment to increase the number of electronic gaming machines </w:t>
            </w:r>
            <w:r>
              <w:br/>
            </w:r>
            <w:r w:rsidRPr="00242D30">
              <w:t>(with private inquiry)</w:t>
            </w:r>
          </w:p>
        </w:tc>
        <w:tc>
          <w:tcPr>
            <w:tcW w:w="989" w:type="pct"/>
          </w:tcPr>
          <w:p w14:paraId="200ACE9F" w14:textId="09DD101E" w:rsidR="00682F8F" w:rsidRPr="00242D30" w:rsidRDefault="00682F8F" w:rsidP="003A42FE">
            <w:pPr>
              <w:pStyle w:val="TableText"/>
              <w:jc w:val="right"/>
            </w:pPr>
            <w:r w:rsidRPr="00242D30">
              <w:t>$1,</w:t>
            </w:r>
            <w:r w:rsidR="003A42FE">
              <w:t>401</w:t>
            </w:r>
            <w:r w:rsidRPr="00242D30">
              <w:t>.</w:t>
            </w:r>
            <w:r w:rsidR="003A42FE">
              <w:t>4</w:t>
            </w:r>
            <w:r w:rsidRPr="00242D30">
              <w:t>0</w:t>
            </w:r>
          </w:p>
        </w:tc>
      </w:tr>
      <w:tr w:rsidR="00682F8F" w:rsidRPr="0089247B" w14:paraId="7637DBF7" w14:textId="77777777" w:rsidTr="0068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11" w:type="pct"/>
          </w:tcPr>
          <w:p w14:paraId="3CBC67DE" w14:textId="0507280A" w:rsidR="00682F8F" w:rsidRPr="00242D30" w:rsidRDefault="00682F8F" w:rsidP="00682F8F">
            <w:pPr>
              <w:pStyle w:val="TableText"/>
            </w:pPr>
            <w:r w:rsidRPr="00242D30">
              <w:t xml:space="preserve">Amendment to increase the number of electronic gaming machines </w:t>
            </w:r>
            <w:r>
              <w:br/>
            </w:r>
            <w:r w:rsidRPr="00242D30">
              <w:t>(without private inquiry)</w:t>
            </w:r>
          </w:p>
        </w:tc>
        <w:tc>
          <w:tcPr>
            <w:tcW w:w="989" w:type="pct"/>
          </w:tcPr>
          <w:p w14:paraId="22E9964D" w14:textId="6F9476D8" w:rsidR="00682F8F" w:rsidRPr="00242D30" w:rsidRDefault="00682F8F" w:rsidP="003A42FE">
            <w:pPr>
              <w:pStyle w:val="TableText"/>
              <w:jc w:val="right"/>
            </w:pPr>
            <w:r w:rsidRPr="00242D30">
              <w:t>$13,</w:t>
            </w:r>
            <w:r w:rsidR="003A42FE">
              <w:t>936.00</w:t>
            </w:r>
          </w:p>
        </w:tc>
      </w:tr>
      <w:tr w:rsidR="00682F8F" w:rsidRPr="0089247B" w14:paraId="2ADEB4D9" w14:textId="77777777" w:rsidTr="00682F8F">
        <w:tc>
          <w:tcPr>
            <w:tcW w:w="4011" w:type="pct"/>
          </w:tcPr>
          <w:p w14:paraId="57FE8452" w14:textId="77777777" w:rsidR="00682F8F" w:rsidRPr="00242D30" w:rsidRDefault="00682F8F" w:rsidP="00682F8F">
            <w:pPr>
              <w:pStyle w:val="TableText"/>
            </w:pPr>
            <w:r w:rsidRPr="00242D30">
              <w:t>Amendment to vary or modify gaming machine areas</w:t>
            </w:r>
          </w:p>
        </w:tc>
        <w:tc>
          <w:tcPr>
            <w:tcW w:w="989" w:type="pct"/>
          </w:tcPr>
          <w:p w14:paraId="5A2725B7" w14:textId="1354B7D3" w:rsidR="00682F8F" w:rsidRPr="00242D30" w:rsidRDefault="00682F8F" w:rsidP="003A42FE">
            <w:pPr>
              <w:pStyle w:val="TableText"/>
              <w:jc w:val="right"/>
            </w:pPr>
            <w:r w:rsidRPr="00242D30">
              <w:t>$1</w:t>
            </w:r>
            <w:r w:rsidR="003A42FE">
              <w:t>34.80</w:t>
            </w:r>
          </w:p>
        </w:tc>
      </w:tr>
      <w:tr w:rsidR="00682F8F" w:rsidRPr="0089247B" w14:paraId="2F7E8983" w14:textId="77777777" w:rsidTr="0068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11" w:type="pct"/>
          </w:tcPr>
          <w:p w14:paraId="3CCCBABB" w14:textId="77777777" w:rsidR="00682F8F" w:rsidRPr="00242D30" w:rsidRDefault="00682F8F" w:rsidP="00682F8F">
            <w:pPr>
              <w:pStyle w:val="TableText"/>
            </w:pPr>
            <w:r w:rsidRPr="00242D30">
              <w:t>Amendment to vary the day or dates on which 24-hour gaming is permitted</w:t>
            </w:r>
          </w:p>
        </w:tc>
        <w:tc>
          <w:tcPr>
            <w:tcW w:w="989" w:type="pct"/>
          </w:tcPr>
          <w:p w14:paraId="15245FDE" w14:textId="0444599B" w:rsidR="00682F8F" w:rsidRPr="00242D30" w:rsidRDefault="00682F8F" w:rsidP="003A42FE">
            <w:pPr>
              <w:pStyle w:val="TableText"/>
              <w:jc w:val="right"/>
            </w:pPr>
            <w:r w:rsidRPr="00242D30">
              <w:t>$13,</w:t>
            </w:r>
            <w:r w:rsidR="003A42FE">
              <w:t>936.00</w:t>
            </w:r>
          </w:p>
        </w:tc>
      </w:tr>
      <w:tr w:rsidR="00682F8F" w:rsidRPr="0089247B" w14:paraId="0872CA29" w14:textId="77777777" w:rsidTr="00682F8F">
        <w:tc>
          <w:tcPr>
            <w:tcW w:w="4011" w:type="pct"/>
          </w:tcPr>
          <w:p w14:paraId="246E3378" w14:textId="77777777" w:rsidR="00682F8F" w:rsidRPr="00242D30" w:rsidRDefault="00682F8F" w:rsidP="00682F8F">
            <w:pPr>
              <w:pStyle w:val="TableText"/>
            </w:pPr>
            <w:r w:rsidRPr="00242D30">
              <w:t xml:space="preserve">Amendment to add a condition specifying days or dates on which </w:t>
            </w:r>
            <w:r w:rsidRPr="00242D30">
              <w:br/>
              <w:t xml:space="preserve">24-hour gaming is permitted (when none currently takes place) </w:t>
            </w:r>
          </w:p>
        </w:tc>
        <w:tc>
          <w:tcPr>
            <w:tcW w:w="989" w:type="pct"/>
          </w:tcPr>
          <w:p w14:paraId="32B94402" w14:textId="0FFA617B" w:rsidR="00682F8F" w:rsidRPr="00242D30" w:rsidRDefault="00682F8F" w:rsidP="003A42FE">
            <w:pPr>
              <w:pStyle w:val="TableText"/>
              <w:jc w:val="right"/>
            </w:pPr>
            <w:r w:rsidRPr="00242D30">
              <w:t>$13,</w:t>
            </w:r>
            <w:r w:rsidR="003A42FE">
              <w:t>936</w:t>
            </w:r>
            <w:r w:rsidRPr="00242D30">
              <w:t>.</w:t>
            </w:r>
            <w:r w:rsidR="003A42FE">
              <w:t>0</w:t>
            </w:r>
            <w:r w:rsidRPr="00242D30">
              <w:t>0</w:t>
            </w:r>
          </w:p>
        </w:tc>
      </w:tr>
      <w:tr w:rsidR="00682F8F" w:rsidRPr="0089247B" w14:paraId="5A672C06" w14:textId="77777777" w:rsidTr="0068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11" w:type="pct"/>
          </w:tcPr>
          <w:p w14:paraId="36C23AAC" w14:textId="77777777" w:rsidR="00682F8F" w:rsidRPr="00242D30" w:rsidRDefault="00682F8F" w:rsidP="00682F8F">
            <w:pPr>
              <w:pStyle w:val="TableText"/>
            </w:pPr>
            <w:r w:rsidRPr="00242D30">
              <w:t>Request for amendment of geographic area condition or venue condition</w:t>
            </w:r>
          </w:p>
        </w:tc>
        <w:tc>
          <w:tcPr>
            <w:tcW w:w="989" w:type="pct"/>
          </w:tcPr>
          <w:p w14:paraId="54519FAA" w14:textId="0856F298" w:rsidR="00682F8F" w:rsidRPr="00242D30" w:rsidRDefault="00682F8F" w:rsidP="003A42FE">
            <w:pPr>
              <w:pStyle w:val="TableText"/>
              <w:jc w:val="right"/>
            </w:pPr>
            <w:r w:rsidRPr="00242D30">
              <w:t>$5</w:t>
            </w:r>
            <w:r w:rsidR="003A42FE">
              <w:t>4.20</w:t>
            </w:r>
          </w:p>
        </w:tc>
      </w:tr>
      <w:tr w:rsidR="00682F8F" w:rsidRPr="0089247B" w14:paraId="1F34CE95" w14:textId="77777777" w:rsidTr="00682F8F">
        <w:tc>
          <w:tcPr>
            <w:tcW w:w="4011" w:type="pct"/>
          </w:tcPr>
          <w:p w14:paraId="4310D844" w14:textId="313668BF" w:rsidR="00682F8F" w:rsidRPr="00242D30" w:rsidRDefault="003A42FE" w:rsidP="00682F8F">
            <w:pPr>
              <w:pStyle w:val="TableText"/>
            </w:pPr>
            <w:r>
              <w:t>G</w:t>
            </w:r>
            <w:r w:rsidR="00682F8F" w:rsidRPr="00242D30">
              <w:t>aming machine entitlement</w:t>
            </w:r>
            <w:r>
              <w:t xml:space="preserve"> transfer</w:t>
            </w:r>
            <w:r w:rsidR="00682F8F" w:rsidRPr="00242D30">
              <w:t xml:space="preserve"> </w:t>
            </w:r>
          </w:p>
        </w:tc>
        <w:tc>
          <w:tcPr>
            <w:tcW w:w="989" w:type="pct"/>
          </w:tcPr>
          <w:p w14:paraId="78458CBB" w14:textId="196C6283" w:rsidR="00682F8F" w:rsidRPr="00242D30" w:rsidRDefault="00682F8F" w:rsidP="003A42FE">
            <w:pPr>
              <w:pStyle w:val="TableText"/>
              <w:jc w:val="right"/>
            </w:pPr>
            <w:r w:rsidRPr="00242D30">
              <w:t>$1</w:t>
            </w:r>
            <w:r w:rsidR="003A42FE">
              <w:t>7</w:t>
            </w:r>
            <w:r w:rsidRPr="00242D30">
              <w:t>8.</w:t>
            </w:r>
            <w:r w:rsidR="003A42FE">
              <w:t>7</w:t>
            </w:r>
            <w:r w:rsidRPr="00242D30">
              <w:t xml:space="preserve">0 </w:t>
            </w:r>
          </w:p>
        </w:tc>
      </w:tr>
      <w:tr w:rsidR="00682F8F" w:rsidRPr="0089247B" w14:paraId="49790D25" w14:textId="77777777" w:rsidTr="0068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11" w:type="pct"/>
          </w:tcPr>
          <w:p w14:paraId="47E5EC4A" w14:textId="77777777" w:rsidR="00682F8F" w:rsidRPr="00242D30" w:rsidRDefault="00682F8F" w:rsidP="00682F8F">
            <w:pPr>
              <w:pStyle w:val="TableText"/>
            </w:pPr>
            <w:r w:rsidRPr="00242D30">
              <w:t>Sale of forfeited gaming machine entitlement that is allocated again</w:t>
            </w:r>
          </w:p>
        </w:tc>
        <w:tc>
          <w:tcPr>
            <w:tcW w:w="989" w:type="pct"/>
          </w:tcPr>
          <w:p w14:paraId="5AA6BBA2" w14:textId="13C07DCA" w:rsidR="00682F8F" w:rsidRPr="00242D30" w:rsidRDefault="00682F8F" w:rsidP="003A42FE">
            <w:pPr>
              <w:pStyle w:val="TableText"/>
              <w:jc w:val="right"/>
            </w:pPr>
            <w:r w:rsidRPr="00242D30">
              <w:t>$21</w:t>
            </w:r>
            <w:r w:rsidR="003A42FE">
              <w:t>2</w:t>
            </w:r>
            <w:r w:rsidRPr="00242D30">
              <w:t>.</w:t>
            </w:r>
            <w:r w:rsidR="003A42FE">
              <w:t>9</w:t>
            </w:r>
            <w:r w:rsidRPr="00242D30">
              <w:t>0</w:t>
            </w:r>
          </w:p>
        </w:tc>
      </w:tr>
    </w:tbl>
    <w:p w14:paraId="43FA0F5F" w14:textId="77777777" w:rsidR="00682F8F" w:rsidRDefault="00682F8F" w:rsidP="00682F8F">
      <w:pPr>
        <w:pStyle w:val="Footer"/>
      </w:pPr>
    </w:p>
    <w:tbl>
      <w:tblPr>
        <w:tblStyle w:val="TableGrid"/>
        <w:tblW w:w="4717" w:type="pct"/>
        <w:tblLayout w:type="fixed"/>
        <w:tblLook w:val="0020" w:firstRow="1" w:lastRow="0" w:firstColumn="0" w:lastColumn="0" w:noHBand="0" w:noVBand="0"/>
      </w:tblPr>
      <w:tblGrid>
        <w:gridCol w:w="9621"/>
      </w:tblGrid>
      <w:tr w:rsidR="00682F8F" w:rsidRPr="0089247B" w14:paraId="248D2B2A" w14:textId="77777777" w:rsidTr="00AB6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B2C7B90" w14:textId="77777777" w:rsidR="00682F8F" w:rsidRPr="0089247B" w:rsidRDefault="00682F8F" w:rsidP="00AB6F36">
            <w:r>
              <w:t>Supervision charge</w:t>
            </w:r>
          </w:p>
        </w:tc>
      </w:tr>
      <w:tr w:rsidR="00682F8F" w:rsidRPr="0089247B" w14:paraId="47B454CA" w14:textId="77777777" w:rsidTr="00AB6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56BDBACE" w14:textId="77777777" w:rsidR="00682F8F" w:rsidRPr="00682F8F" w:rsidRDefault="00682F8F" w:rsidP="00682F8F">
            <w:pPr>
              <w:pStyle w:val="TableText"/>
            </w:pPr>
            <w:r>
              <w:t>Victorian gaming venue operators are required to pay a supervision charge to recover the costs of gaming industry regulation and will be invoiced annually.</w:t>
            </w:r>
          </w:p>
        </w:tc>
      </w:tr>
    </w:tbl>
    <w:p w14:paraId="6C25AF0F" w14:textId="77777777" w:rsidR="00682F8F" w:rsidRDefault="00682F8F" w:rsidP="00682F8F">
      <w:pPr>
        <w:pStyle w:val="Footer"/>
      </w:pPr>
    </w:p>
    <w:tbl>
      <w:tblPr>
        <w:tblStyle w:val="TableGrid"/>
        <w:tblW w:w="4717" w:type="pct"/>
        <w:tblLayout w:type="fixed"/>
        <w:tblLook w:val="0020" w:firstRow="1" w:lastRow="0" w:firstColumn="0" w:lastColumn="0" w:noHBand="0" w:noVBand="0"/>
      </w:tblPr>
      <w:tblGrid>
        <w:gridCol w:w="7726"/>
        <w:gridCol w:w="1895"/>
      </w:tblGrid>
      <w:tr w:rsidR="00682F8F" w:rsidRPr="0089247B" w14:paraId="178273D4" w14:textId="77777777" w:rsidTr="00682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15" w:type="pct"/>
          </w:tcPr>
          <w:p w14:paraId="7CB9BEF1" w14:textId="77777777" w:rsidR="00682F8F" w:rsidRPr="0089247B" w:rsidRDefault="00682F8F" w:rsidP="00AB6F36">
            <w:r>
              <w:t>Casino</w:t>
            </w:r>
          </w:p>
        </w:tc>
        <w:tc>
          <w:tcPr>
            <w:tcW w:w="985" w:type="pct"/>
          </w:tcPr>
          <w:p w14:paraId="7CDF2459" w14:textId="77777777" w:rsidR="00682F8F" w:rsidRPr="0089247B" w:rsidRDefault="00682F8F" w:rsidP="00AB6F36"/>
        </w:tc>
      </w:tr>
      <w:tr w:rsidR="00682F8F" w:rsidRPr="0089247B" w14:paraId="711C9B4F" w14:textId="77777777" w:rsidTr="0068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15" w:type="pct"/>
          </w:tcPr>
          <w:p w14:paraId="02A24B7C" w14:textId="77777777" w:rsidR="00682F8F" w:rsidRPr="0089247B" w:rsidRDefault="00682F8F" w:rsidP="00682F8F">
            <w:pPr>
              <w:pStyle w:val="TableText"/>
            </w:pPr>
            <w:r>
              <w:t>Fee for redefinition of casino boundaries</w:t>
            </w:r>
          </w:p>
        </w:tc>
        <w:tc>
          <w:tcPr>
            <w:tcW w:w="985" w:type="pct"/>
          </w:tcPr>
          <w:p w14:paraId="273681C1" w14:textId="604E6869" w:rsidR="00682F8F" w:rsidRPr="00242D30" w:rsidRDefault="00682F8F" w:rsidP="003A42FE">
            <w:pPr>
              <w:pStyle w:val="TableText"/>
              <w:jc w:val="right"/>
            </w:pPr>
            <w:r w:rsidRPr="00242D30">
              <w:t>$4,</w:t>
            </w:r>
            <w:r w:rsidR="003A42FE">
              <w:t>430</w:t>
            </w:r>
            <w:r w:rsidRPr="00242D30">
              <w:t>.</w:t>
            </w:r>
            <w:r w:rsidR="003A42FE">
              <w:t>1</w:t>
            </w:r>
            <w:r w:rsidRPr="00242D30">
              <w:t>0</w:t>
            </w:r>
          </w:p>
        </w:tc>
      </w:tr>
    </w:tbl>
    <w:p w14:paraId="717F2081" w14:textId="77777777" w:rsidR="00682F8F" w:rsidRDefault="00682F8F" w:rsidP="00682F8F">
      <w:pPr>
        <w:pStyle w:val="Footer"/>
      </w:pPr>
      <w:r>
        <w:br w:type="page"/>
      </w:r>
    </w:p>
    <w:p w14:paraId="350EE9FA" w14:textId="77777777" w:rsidR="00682F8F" w:rsidRDefault="00682F8F" w:rsidP="00682F8F">
      <w:pPr>
        <w:pStyle w:val="Footer"/>
      </w:pPr>
    </w:p>
    <w:tbl>
      <w:tblPr>
        <w:tblStyle w:val="TableGrid"/>
        <w:tblW w:w="4717" w:type="pct"/>
        <w:tblLayout w:type="fixed"/>
        <w:tblLook w:val="0020" w:firstRow="1" w:lastRow="0" w:firstColumn="0" w:lastColumn="0" w:noHBand="0" w:noVBand="0"/>
      </w:tblPr>
      <w:tblGrid>
        <w:gridCol w:w="7726"/>
        <w:gridCol w:w="1895"/>
      </w:tblGrid>
      <w:tr w:rsidR="00682F8F" w:rsidRPr="0089247B" w14:paraId="5E1858D0" w14:textId="77777777" w:rsidTr="00682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15" w:type="pct"/>
          </w:tcPr>
          <w:p w14:paraId="1832F211" w14:textId="77777777" w:rsidR="00682F8F" w:rsidRPr="0089247B" w:rsidRDefault="00682F8F" w:rsidP="00AB6F36">
            <w:r>
              <w:t>Employees</w:t>
            </w:r>
          </w:p>
        </w:tc>
        <w:tc>
          <w:tcPr>
            <w:tcW w:w="985" w:type="pct"/>
          </w:tcPr>
          <w:p w14:paraId="757D2C45" w14:textId="77777777" w:rsidR="00682F8F" w:rsidRPr="0089247B" w:rsidRDefault="00682F8F" w:rsidP="00AB6F36"/>
        </w:tc>
      </w:tr>
      <w:tr w:rsidR="00682F8F" w:rsidRPr="00242D30" w14:paraId="6DE95CD7" w14:textId="77777777" w:rsidTr="0068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15" w:type="pct"/>
          </w:tcPr>
          <w:p w14:paraId="6714063E" w14:textId="77777777" w:rsidR="00682F8F" w:rsidRPr="00242D30" w:rsidRDefault="00682F8F" w:rsidP="00682F8F">
            <w:pPr>
              <w:pStyle w:val="TableText"/>
            </w:pPr>
            <w:r w:rsidRPr="00242D30">
              <w:t>New gaming industry employee’s licence or casino special employee’s licence</w:t>
            </w:r>
          </w:p>
        </w:tc>
        <w:tc>
          <w:tcPr>
            <w:tcW w:w="985" w:type="pct"/>
          </w:tcPr>
          <w:p w14:paraId="06405AD5" w14:textId="4EB872D7" w:rsidR="00682F8F" w:rsidRPr="00242D30" w:rsidRDefault="00682F8F" w:rsidP="003A42FE">
            <w:pPr>
              <w:pStyle w:val="TableText"/>
              <w:jc w:val="right"/>
            </w:pPr>
            <w:r w:rsidRPr="00242D30">
              <w:t>$</w:t>
            </w:r>
            <w:r w:rsidR="003A42FE">
              <w:t>82</w:t>
            </w:r>
            <w:r w:rsidRPr="00242D30">
              <w:t>.</w:t>
            </w:r>
            <w:r w:rsidR="003A42FE">
              <w:t>00</w:t>
            </w:r>
          </w:p>
        </w:tc>
      </w:tr>
      <w:tr w:rsidR="00682F8F" w:rsidRPr="0089247B" w14:paraId="3B1FC810" w14:textId="77777777" w:rsidTr="00682F8F">
        <w:tc>
          <w:tcPr>
            <w:tcW w:w="4015" w:type="pct"/>
          </w:tcPr>
          <w:p w14:paraId="2C9B9E8A" w14:textId="77777777" w:rsidR="00682F8F" w:rsidRPr="00242D30" w:rsidRDefault="00682F8F" w:rsidP="00682F8F">
            <w:pPr>
              <w:pStyle w:val="TableText"/>
            </w:pPr>
            <w:r w:rsidRPr="00242D30">
              <w:t>New gaming industry employee’s licence where the applicant holds a casino special employee’s licence</w:t>
            </w:r>
          </w:p>
        </w:tc>
        <w:tc>
          <w:tcPr>
            <w:tcW w:w="985" w:type="pct"/>
          </w:tcPr>
          <w:p w14:paraId="691DE67A" w14:textId="2E33FFE8" w:rsidR="00682F8F" w:rsidRPr="00242D30" w:rsidRDefault="00682F8F" w:rsidP="003A42FE">
            <w:pPr>
              <w:pStyle w:val="TableText"/>
              <w:jc w:val="right"/>
            </w:pPr>
            <w:r w:rsidRPr="00242D30">
              <w:t>$5</w:t>
            </w:r>
            <w:r w:rsidR="003A42FE">
              <w:t>3</w:t>
            </w:r>
            <w:r w:rsidRPr="00242D30">
              <w:t>.</w:t>
            </w:r>
            <w:r w:rsidR="003A42FE">
              <w:t>9</w:t>
            </w:r>
            <w:r w:rsidRPr="00242D30">
              <w:t>0</w:t>
            </w:r>
          </w:p>
        </w:tc>
      </w:tr>
      <w:tr w:rsidR="00682F8F" w:rsidRPr="0089247B" w14:paraId="794EA515" w14:textId="77777777" w:rsidTr="0068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15" w:type="pct"/>
          </w:tcPr>
          <w:p w14:paraId="4D4ADD50" w14:textId="77777777" w:rsidR="00682F8F" w:rsidRPr="00242D30" w:rsidRDefault="00682F8F" w:rsidP="00682F8F">
            <w:pPr>
              <w:pStyle w:val="TableText"/>
            </w:pPr>
            <w:r w:rsidRPr="00242D30">
              <w:t>Fee for a casino special employee’s licence where the applicant holds a licence under the Gambling Regulation Act 2003</w:t>
            </w:r>
          </w:p>
        </w:tc>
        <w:tc>
          <w:tcPr>
            <w:tcW w:w="985" w:type="pct"/>
          </w:tcPr>
          <w:p w14:paraId="4C191530" w14:textId="6965F88C" w:rsidR="00682F8F" w:rsidRPr="00242D30" w:rsidRDefault="00682F8F" w:rsidP="003A42FE">
            <w:pPr>
              <w:pStyle w:val="TableText"/>
              <w:jc w:val="right"/>
            </w:pPr>
            <w:r w:rsidRPr="00242D30">
              <w:t>$5</w:t>
            </w:r>
            <w:r w:rsidR="003A42FE">
              <w:t>3</w:t>
            </w:r>
            <w:r w:rsidRPr="00242D30">
              <w:t>.</w:t>
            </w:r>
            <w:r w:rsidR="003A42FE">
              <w:t>9</w:t>
            </w:r>
            <w:r w:rsidRPr="00242D30">
              <w:t>0</w:t>
            </w:r>
          </w:p>
        </w:tc>
      </w:tr>
      <w:tr w:rsidR="00682F8F" w:rsidRPr="0089247B" w14:paraId="413ABD43" w14:textId="77777777" w:rsidTr="00682F8F">
        <w:tc>
          <w:tcPr>
            <w:tcW w:w="4015" w:type="pct"/>
          </w:tcPr>
          <w:p w14:paraId="591FFDE1" w14:textId="77777777" w:rsidR="00682F8F" w:rsidRPr="00242D30" w:rsidRDefault="00682F8F" w:rsidP="00682F8F">
            <w:pPr>
              <w:pStyle w:val="TableText"/>
            </w:pPr>
            <w:r w:rsidRPr="00242D30">
              <w:t>Renewal of gaming industry employee’s licence or casino special employee’s licence</w:t>
            </w:r>
          </w:p>
        </w:tc>
        <w:tc>
          <w:tcPr>
            <w:tcW w:w="985" w:type="pct"/>
          </w:tcPr>
          <w:p w14:paraId="3B5B8644" w14:textId="2722D088" w:rsidR="00682F8F" w:rsidRPr="00242D30" w:rsidRDefault="00682F8F" w:rsidP="003A42FE">
            <w:pPr>
              <w:pStyle w:val="TableText"/>
              <w:jc w:val="right"/>
            </w:pPr>
            <w:r w:rsidRPr="00242D30">
              <w:t>$5</w:t>
            </w:r>
            <w:r w:rsidR="003A42FE">
              <w:t>4</w:t>
            </w:r>
            <w:r w:rsidRPr="00242D30">
              <w:t>.10</w:t>
            </w:r>
          </w:p>
        </w:tc>
      </w:tr>
      <w:tr w:rsidR="00682F8F" w:rsidRPr="0089247B" w14:paraId="6AD82B16" w14:textId="77777777" w:rsidTr="0068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15" w:type="pct"/>
          </w:tcPr>
          <w:p w14:paraId="057B9606" w14:textId="77777777" w:rsidR="00682F8F" w:rsidRPr="00242D30" w:rsidRDefault="00682F8F" w:rsidP="00682F8F">
            <w:pPr>
              <w:pStyle w:val="TableText"/>
            </w:pPr>
            <w:r w:rsidRPr="00242D30">
              <w:t>Replacement of gaming industry employee’s identification or casino special employee’s identification</w:t>
            </w:r>
          </w:p>
        </w:tc>
        <w:tc>
          <w:tcPr>
            <w:tcW w:w="985" w:type="pct"/>
          </w:tcPr>
          <w:p w14:paraId="7137201F" w14:textId="77777777" w:rsidR="00682F8F" w:rsidRPr="00242D30" w:rsidRDefault="00682F8F" w:rsidP="003A42FE">
            <w:pPr>
              <w:pStyle w:val="TableText"/>
              <w:jc w:val="right"/>
            </w:pPr>
            <w:r w:rsidRPr="00242D30">
              <w:t>$10.72</w:t>
            </w:r>
            <w:r>
              <w:t xml:space="preserve"> </w:t>
            </w:r>
            <w:r>
              <w:br/>
            </w:r>
            <w:r w:rsidRPr="00242D30">
              <w:t>(set amount)</w:t>
            </w:r>
          </w:p>
        </w:tc>
      </w:tr>
      <w:tr w:rsidR="00682F8F" w:rsidRPr="0089247B" w14:paraId="1D1B9151" w14:textId="77777777" w:rsidTr="00682F8F">
        <w:tc>
          <w:tcPr>
            <w:tcW w:w="4015" w:type="pct"/>
          </w:tcPr>
          <w:p w14:paraId="01F9E581" w14:textId="77777777" w:rsidR="00682F8F" w:rsidRPr="00242D30" w:rsidRDefault="00682F8F" w:rsidP="00682F8F">
            <w:pPr>
              <w:pStyle w:val="TableText"/>
            </w:pPr>
            <w:r w:rsidRPr="00242D30">
              <w:t xml:space="preserve">Variation of a casino special employee’s licence </w:t>
            </w:r>
          </w:p>
        </w:tc>
        <w:tc>
          <w:tcPr>
            <w:tcW w:w="985" w:type="pct"/>
          </w:tcPr>
          <w:p w14:paraId="6AE638BD" w14:textId="505AA6EC" w:rsidR="00682F8F" w:rsidRPr="00242D30" w:rsidRDefault="00682F8F" w:rsidP="003A42FE">
            <w:pPr>
              <w:pStyle w:val="TableText"/>
              <w:jc w:val="right"/>
            </w:pPr>
            <w:r w:rsidRPr="00242D30">
              <w:t>$</w:t>
            </w:r>
            <w:r w:rsidR="003A42FE">
              <w:t>53</w:t>
            </w:r>
            <w:r w:rsidRPr="00242D30">
              <w:t>.</w:t>
            </w:r>
            <w:r w:rsidR="003A42FE">
              <w:t>3</w:t>
            </w:r>
            <w:r w:rsidRPr="00242D30">
              <w:t>0</w:t>
            </w:r>
          </w:p>
        </w:tc>
      </w:tr>
    </w:tbl>
    <w:p w14:paraId="45A29523" w14:textId="77777777" w:rsidR="00682F8F" w:rsidRDefault="00682F8F" w:rsidP="00682F8F">
      <w:pPr>
        <w:pStyle w:val="Footer"/>
      </w:pPr>
    </w:p>
    <w:tbl>
      <w:tblPr>
        <w:tblStyle w:val="TableGrid"/>
        <w:tblW w:w="4717" w:type="pct"/>
        <w:tblLayout w:type="fixed"/>
        <w:tblLook w:val="0020" w:firstRow="1" w:lastRow="0" w:firstColumn="0" w:lastColumn="0" w:noHBand="0" w:noVBand="0"/>
      </w:tblPr>
      <w:tblGrid>
        <w:gridCol w:w="7718"/>
        <w:gridCol w:w="1903"/>
      </w:tblGrid>
      <w:tr w:rsidR="00682F8F" w:rsidRPr="0089247B" w14:paraId="2B5B55C0" w14:textId="77777777" w:rsidTr="00682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11" w:type="pct"/>
          </w:tcPr>
          <w:p w14:paraId="094028D9" w14:textId="77777777" w:rsidR="00682F8F" w:rsidRPr="0089247B" w:rsidRDefault="00682F8F" w:rsidP="00AB6F36">
            <w:r>
              <w:t xml:space="preserve">Roll of manufacturers, </w:t>
            </w:r>
            <w:proofErr w:type="gramStart"/>
            <w:r>
              <w:t>suppliers</w:t>
            </w:r>
            <w:proofErr w:type="gramEnd"/>
            <w:r>
              <w:t xml:space="preserve"> and testers</w:t>
            </w:r>
          </w:p>
        </w:tc>
        <w:tc>
          <w:tcPr>
            <w:tcW w:w="989" w:type="pct"/>
          </w:tcPr>
          <w:p w14:paraId="7D6BCB18" w14:textId="77777777" w:rsidR="00682F8F" w:rsidRPr="0089247B" w:rsidRDefault="00682F8F" w:rsidP="00AB6F36"/>
        </w:tc>
      </w:tr>
      <w:tr w:rsidR="00682F8F" w:rsidRPr="0089247B" w14:paraId="1012111D" w14:textId="77777777" w:rsidTr="0068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11" w:type="pct"/>
          </w:tcPr>
          <w:p w14:paraId="69F56E4E" w14:textId="77777777" w:rsidR="00682F8F" w:rsidRPr="00682F8F" w:rsidRDefault="00682F8F" w:rsidP="00682F8F">
            <w:pPr>
              <w:pStyle w:val="TableText"/>
            </w:pPr>
            <w:r w:rsidRPr="00682F8F">
              <w:t xml:space="preserve">Listing on the </w:t>
            </w:r>
            <w:proofErr w:type="spellStart"/>
            <w:r w:rsidRPr="00682F8F">
              <w:t>roll</w:t>
            </w:r>
            <w:proofErr w:type="spellEnd"/>
            <w:r w:rsidRPr="00682F8F">
              <w:t xml:space="preserve"> of manufacturers, </w:t>
            </w:r>
            <w:proofErr w:type="gramStart"/>
            <w:r w:rsidRPr="00682F8F">
              <w:t>suppliers</w:t>
            </w:r>
            <w:proofErr w:type="gramEnd"/>
            <w:r w:rsidRPr="00682F8F">
              <w:t xml:space="preserve"> and testers</w:t>
            </w:r>
          </w:p>
        </w:tc>
        <w:tc>
          <w:tcPr>
            <w:tcW w:w="989" w:type="pct"/>
          </w:tcPr>
          <w:p w14:paraId="07959216" w14:textId="62882FF1" w:rsidR="00682F8F" w:rsidRPr="00682F8F" w:rsidRDefault="00682F8F" w:rsidP="003A42FE">
            <w:pPr>
              <w:pStyle w:val="TableText"/>
              <w:jc w:val="right"/>
            </w:pPr>
            <w:r w:rsidRPr="00682F8F">
              <w:t>$3,</w:t>
            </w:r>
            <w:r w:rsidR="003A42FE">
              <w:t>243.10</w:t>
            </w:r>
          </w:p>
        </w:tc>
      </w:tr>
    </w:tbl>
    <w:p w14:paraId="20274514" w14:textId="77777777" w:rsidR="00682F8F" w:rsidRDefault="00682F8F" w:rsidP="00682F8F">
      <w:pPr>
        <w:pStyle w:val="Footer"/>
      </w:pPr>
    </w:p>
    <w:tbl>
      <w:tblPr>
        <w:tblStyle w:val="TableGrid"/>
        <w:tblW w:w="4717" w:type="pct"/>
        <w:tblLayout w:type="fixed"/>
        <w:tblLook w:val="0020" w:firstRow="1" w:lastRow="0" w:firstColumn="0" w:lastColumn="0" w:noHBand="0" w:noVBand="0"/>
      </w:tblPr>
      <w:tblGrid>
        <w:gridCol w:w="7726"/>
        <w:gridCol w:w="1895"/>
      </w:tblGrid>
      <w:tr w:rsidR="00682F8F" w:rsidRPr="0089247B" w14:paraId="4FF3214E" w14:textId="77777777" w:rsidTr="00682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15" w:type="pct"/>
          </w:tcPr>
          <w:p w14:paraId="1D91C4F1" w14:textId="77777777" w:rsidR="00682F8F" w:rsidRPr="0089247B" w:rsidRDefault="00682F8F" w:rsidP="00AB6F36">
            <w:r>
              <w:t>Bingo and commercial raffles</w:t>
            </w:r>
          </w:p>
        </w:tc>
        <w:tc>
          <w:tcPr>
            <w:tcW w:w="985" w:type="pct"/>
          </w:tcPr>
          <w:p w14:paraId="7C3D1F9F" w14:textId="77777777" w:rsidR="00682F8F" w:rsidRPr="0089247B" w:rsidRDefault="00682F8F" w:rsidP="00AB6F36"/>
        </w:tc>
      </w:tr>
      <w:tr w:rsidR="00682F8F" w:rsidRPr="0089247B" w14:paraId="06DC4C4D" w14:textId="77777777" w:rsidTr="0068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15" w:type="pct"/>
          </w:tcPr>
          <w:p w14:paraId="3D5181A1" w14:textId="77777777" w:rsidR="00682F8F" w:rsidRPr="00242D30" w:rsidRDefault="00682F8F" w:rsidP="00682F8F">
            <w:pPr>
              <w:pStyle w:val="TableText"/>
            </w:pPr>
            <w:r w:rsidRPr="00242D30">
              <w:t>New bingo centre operator’s licence or commercial raffle organiser’s licence</w:t>
            </w:r>
          </w:p>
        </w:tc>
        <w:tc>
          <w:tcPr>
            <w:tcW w:w="985" w:type="pct"/>
          </w:tcPr>
          <w:p w14:paraId="7AE6E496" w14:textId="4EB0F978" w:rsidR="00682F8F" w:rsidRPr="00242D30" w:rsidRDefault="00682F8F" w:rsidP="003A42FE">
            <w:pPr>
              <w:pStyle w:val="TableText"/>
              <w:jc w:val="right"/>
            </w:pPr>
            <w:r w:rsidRPr="00242D30">
              <w:t>$2,</w:t>
            </w:r>
            <w:r w:rsidR="003A42FE">
              <w:t>458.00</w:t>
            </w:r>
          </w:p>
        </w:tc>
      </w:tr>
      <w:tr w:rsidR="00682F8F" w:rsidRPr="0089247B" w14:paraId="4F68387A" w14:textId="77777777" w:rsidTr="00682F8F">
        <w:tc>
          <w:tcPr>
            <w:tcW w:w="4015" w:type="pct"/>
          </w:tcPr>
          <w:p w14:paraId="4C67D88C" w14:textId="77777777" w:rsidR="00682F8F" w:rsidRPr="00242D30" w:rsidRDefault="00682F8F" w:rsidP="00682F8F">
            <w:pPr>
              <w:pStyle w:val="TableText"/>
            </w:pPr>
            <w:r w:rsidRPr="00242D30">
              <w:t>Renewal of bingo centre operator’s licence or commercial raffle organiser’s licence</w:t>
            </w:r>
          </w:p>
        </w:tc>
        <w:tc>
          <w:tcPr>
            <w:tcW w:w="985" w:type="pct"/>
          </w:tcPr>
          <w:p w14:paraId="46EB6400" w14:textId="55E42448" w:rsidR="00682F8F" w:rsidRPr="00242D30" w:rsidRDefault="00682F8F" w:rsidP="003A42FE">
            <w:pPr>
              <w:pStyle w:val="TableText"/>
              <w:jc w:val="right"/>
            </w:pPr>
            <w:r w:rsidRPr="00242D30">
              <w:t>$1,</w:t>
            </w:r>
            <w:r w:rsidR="003A42FE">
              <w:t>358.30</w:t>
            </w:r>
          </w:p>
        </w:tc>
      </w:tr>
    </w:tbl>
    <w:p w14:paraId="57EFE980" w14:textId="77777777" w:rsidR="00682F8F" w:rsidRDefault="00682F8F" w:rsidP="00682F8F">
      <w:pPr>
        <w:pStyle w:val="Heading2"/>
      </w:pPr>
      <w:r>
        <w:br w:type="page"/>
      </w:r>
    </w:p>
    <w:p w14:paraId="6C4B9069" w14:textId="41AAFE70" w:rsidR="00682F8F" w:rsidRDefault="00682F8F" w:rsidP="00682F8F">
      <w:pPr>
        <w:pStyle w:val="Heading2"/>
      </w:pPr>
      <w:r>
        <w:lastRenderedPageBreak/>
        <w:t>Approvals</w:t>
      </w:r>
    </w:p>
    <w:tbl>
      <w:tblPr>
        <w:tblStyle w:val="TableGrid"/>
        <w:tblW w:w="4717" w:type="pct"/>
        <w:tblLayout w:type="fixed"/>
        <w:tblLook w:val="0020" w:firstRow="1" w:lastRow="0" w:firstColumn="0" w:lastColumn="0" w:noHBand="0" w:noVBand="0"/>
      </w:tblPr>
      <w:tblGrid>
        <w:gridCol w:w="7726"/>
        <w:gridCol w:w="1895"/>
      </w:tblGrid>
      <w:tr w:rsidR="00682F8F" w:rsidRPr="0089247B" w14:paraId="5A6D927E" w14:textId="77777777" w:rsidTr="00682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15" w:type="pct"/>
          </w:tcPr>
          <w:p w14:paraId="29F00229" w14:textId="77777777" w:rsidR="00682F8F" w:rsidRPr="00682F8F" w:rsidRDefault="00682F8F" w:rsidP="00682F8F">
            <w:r w:rsidRPr="00682F8F">
              <w:t>Associates</w:t>
            </w:r>
          </w:p>
        </w:tc>
        <w:tc>
          <w:tcPr>
            <w:tcW w:w="985" w:type="pct"/>
          </w:tcPr>
          <w:p w14:paraId="778F95AA" w14:textId="77777777" w:rsidR="00682F8F" w:rsidRPr="00682F8F" w:rsidRDefault="00682F8F" w:rsidP="00682F8F"/>
        </w:tc>
      </w:tr>
      <w:tr w:rsidR="00682F8F" w:rsidRPr="0089247B" w14:paraId="6400DF46" w14:textId="77777777" w:rsidTr="0068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15" w:type="pct"/>
          </w:tcPr>
          <w:p w14:paraId="3899CFCE" w14:textId="77777777" w:rsidR="00682F8F" w:rsidRPr="00242D30" w:rsidRDefault="00682F8F" w:rsidP="00682F8F">
            <w:pPr>
              <w:pStyle w:val="TableText"/>
            </w:pPr>
            <w:r w:rsidRPr="00242D30">
              <w:t>Application for approval of an associate of a gambling industry participant (natural person)</w:t>
            </w:r>
          </w:p>
        </w:tc>
        <w:tc>
          <w:tcPr>
            <w:tcW w:w="985" w:type="pct"/>
          </w:tcPr>
          <w:p w14:paraId="7FC5D81D" w14:textId="2FAD6677" w:rsidR="00682F8F" w:rsidRPr="00242D30" w:rsidRDefault="00682F8F" w:rsidP="00174C5C">
            <w:pPr>
              <w:pStyle w:val="TableText"/>
              <w:jc w:val="right"/>
            </w:pPr>
            <w:r w:rsidRPr="00242D30">
              <w:t>$1</w:t>
            </w:r>
            <w:r w:rsidR="00174C5C">
              <w:t>12.90</w:t>
            </w:r>
          </w:p>
        </w:tc>
      </w:tr>
      <w:tr w:rsidR="00682F8F" w:rsidRPr="0089247B" w14:paraId="43272885" w14:textId="77777777" w:rsidTr="00682F8F">
        <w:tc>
          <w:tcPr>
            <w:tcW w:w="4015" w:type="pct"/>
          </w:tcPr>
          <w:p w14:paraId="10825B52" w14:textId="77777777" w:rsidR="00682F8F" w:rsidRPr="00242D30" w:rsidRDefault="00682F8F" w:rsidP="00682F8F">
            <w:pPr>
              <w:pStyle w:val="TableText"/>
            </w:pPr>
            <w:r w:rsidRPr="00242D30">
              <w:t>Application for approval of an associate of a gambling industry participant (any other case)</w:t>
            </w:r>
          </w:p>
        </w:tc>
        <w:tc>
          <w:tcPr>
            <w:tcW w:w="985" w:type="pct"/>
          </w:tcPr>
          <w:p w14:paraId="73F618ED" w14:textId="2AA749F9" w:rsidR="00682F8F" w:rsidRPr="00242D30" w:rsidRDefault="00682F8F" w:rsidP="00F6565E">
            <w:pPr>
              <w:pStyle w:val="TableText"/>
              <w:jc w:val="right"/>
            </w:pPr>
            <w:r w:rsidRPr="00242D30">
              <w:t>$5</w:t>
            </w:r>
            <w:r w:rsidR="00174C5C">
              <w:t>87.</w:t>
            </w:r>
            <w:r w:rsidR="00F6565E">
              <w:t>7</w:t>
            </w:r>
            <w:r w:rsidR="00174C5C">
              <w:t>0</w:t>
            </w:r>
          </w:p>
        </w:tc>
      </w:tr>
    </w:tbl>
    <w:p w14:paraId="504A49DC" w14:textId="77777777" w:rsidR="00682F8F" w:rsidRPr="001369DE" w:rsidRDefault="00682F8F" w:rsidP="00682F8F">
      <w:r w:rsidRPr="001369DE">
        <w:t>Note: The above fees do not apply when the associate application is being lodged with an application for a new gambling industry participant licence. They also do not apply when lodged with an application for renewing a bingo centre operator, registered bookmaker, commercial raffle organiser or venue operator licence.</w:t>
      </w:r>
    </w:p>
    <w:p w14:paraId="4D006B11" w14:textId="77777777" w:rsidR="00682F8F" w:rsidRDefault="00682F8F" w:rsidP="00682F8F">
      <w:pPr>
        <w:pStyle w:val="Footer"/>
      </w:pPr>
    </w:p>
    <w:tbl>
      <w:tblPr>
        <w:tblStyle w:val="TableGrid"/>
        <w:tblW w:w="4717" w:type="pct"/>
        <w:tblLayout w:type="fixed"/>
        <w:tblLook w:val="0020" w:firstRow="1" w:lastRow="0" w:firstColumn="0" w:lastColumn="0" w:noHBand="0" w:noVBand="0"/>
      </w:tblPr>
      <w:tblGrid>
        <w:gridCol w:w="7726"/>
        <w:gridCol w:w="1895"/>
      </w:tblGrid>
      <w:tr w:rsidR="00682F8F" w:rsidRPr="0089247B" w14:paraId="3F792C5C" w14:textId="77777777" w:rsidTr="00682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15" w:type="pct"/>
          </w:tcPr>
          <w:p w14:paraId="24184577" w14:textId="77777777" w:rsidR="00682F8F" w:rsidRPr="0089247B" w:rsidRDefault="00682F8F" w:rsidP="00AB6F36">
            <w:r>
              <w:t>Evaluation of gaming machine type of game</w:t>
            </w:r>
          </w:p>
        </w:tc>
        <w:tc>
          <w:tcPr>
            <w:tcW w:w="985" w:type="pct"/>
          </w:tcPr>
          <w:p w14:paraId="522DBB59" w14:textId="77777777" w:rsidR="00682F8F" w:rsidRPr="0089247B" w:rsidRDefault="00682F8F" w:rsidP="00AB6F36"/>
        </w:tc>
      </w:tr>
      <w:tr w:rsidR="00682F8F" w:rsidRPr="0089247B" w14:paraId="39A05B26" w14:textId="77777777" w:rsidTr="0068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15" w:type="pct"/>
          </w:tcPr>
          <w:p w14:paraId="26A795E6" w14:textId="77777777" w:rsidR="00682F8F" w:rsidRPr="00242D30" w:rsidRDefault="00682F8F" w:rsidP="00682F8F">
            <w:pPr>
              <w:pStyle w:val="TableText"/>
            </w:pPr>
            <w:r w:rsidRPr="00242D30">
              <w:t>Evaluation of gaming machine type</w:t>
            </w:r>
          </w:p>
        </w:tc>
        <w:tc>
          <w:tcPr>
            <w:tcW w:w="985" w:type="pct"/>
          </w:tcPr>
          <w:p w14:paraId="062E4F2E" w14:textId="72619742" w:rsidR="00682F8F" w:rsidRPr="00242D30" w:rsidRDefault="00682F8F" w:rsidP="00F6565E">
            <w:pPr>
              <w:pStyle w:val="TableText"/>
              <w:jc w:val="right"/>
            </w:pPr>
            <w:r w:rsidRPr="00242D30">
              <w:t>$4</w:t>
            </w:r>
            <w:r w:rsidR="00F6565E">
              <w:t>28.20</w:t>
            </w:r>
          </w:p>
        </w:tc>
      </w:tr>
      <w:tr w:rsidR="00682F8F" w14:paraId="281AEEBB" w14:textId="77777777" w:rsidTr="00682F8F">
        <w:tc>
          <w:tcPr>
            <w:tcW w:w="4015" w:type="pct"/>
          </w:tcPr>
          <w:p w14:paraId="57D58690" w14:textId="77777777" w:rsidR="00682F8F" w:rsidRPr="00242D30" w:rsidRDefault="00682F8F" w:rsidP="00682F8F">
            <w:pPr>
              <w:pStyle w:val="TableText"/>
            </w:pPr>
            <w:r w:rsidRPr="00242D30">
              <w:t>Evaluation of gaming machine game</w:t>
            </w:r>
          </w:p>
        </w:tc>
        <w:tc>
          <w:tcPr>
            <w:tcW w:w="985" w:type="pct"/>
          </w:tcPr>
          <w:p w14:paraId="35982046" w14:textId="5E4575BF" w:rsidR="00682F8F" w:rsidRPr="00242D30" w:rsidRDefault="00682F8F" w:rsidP="00F6565E">
            <w:pPr>
              <w:pStyle w:val="TableText"/>
              <w:jc w:val="right"/>
            </w:pPr>
            <w:r w:rsidRPr="00242D30">
              <w:t>$1</w:t>
            </w:r>
            <w:r w:rsidR="00F6565E">
              <w:t>91.60</w:t>
            </w:r>
          </w:p>
        </w:tc>
      </w:tr>
      <w:tr w:rsidR="00682F8F" w14:paraId="41C540D5" w14:textId="77777777" w:rsidTr="0068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15" w:type="pct"/>
          </w:tcPr>
          <w:p w14:paraId="2C45327C" w14:textId="77777777" w:rsidR="00682F8F" w:rsidRPr="00242D30" w:rsidRDefault="00682F8F" w:rsidP="00682F8F">
            <w:pPr>
              <w:pStyle w:val="TableText"/>
            </w:pPr>
            <w:r w:rsidRPr="00242D30">
              <w:t>Application to approve a variation of gaming machine types and games</w:t>
            </w:r>
          </w:p>
        </w:tc>
        <w:tc>
          <w:tcPr>
            <w:tcW w:w="985" w:type="pct"/>
          </w:tcPr>
          <w:p w14:paraId="75AE7B83" w14:textId="139A2E9D" w:rsidR="00682F8F" w:rsidRPr="00242D30" w:rsidRDefault="00682F8F" w:rsidP="00F6565E">
            <w:pPr>
              <w:pStyle w:val="TableText"/>
              <w:jc w:val="right"/>
            </w:pPr>
            <w:r w:rsidRPr="00242D30">
              <w:t>$1</w:t>
            </w:r>
            <w:r w:rsidR="00F6565E">
              <w:t>71.60</w:t>
            </w:r>
          </w:p>
        </w:tc>
      </w:tr>
    </w:tbl>
    <w:p w14:paraId="3F92603D" w14:textId="77777777" w:rsidR="00682F8F" w:rsidRDefault="00682F8F" w:rsidP="00682F8F">
      <w:pPr>
        <w:pStyle w:val="Footer"/>
      </w:pPr>
    </w:p>
    <w:tbl>
      <w:tblPr>
        <w:tblStyle w:val="TableGrid"/>
        <w:tblW w:w="4717" w:type="pct"/>
        <w:tblLayout w:type="fixed"/>
        <w:tblLook w:val="0020" w:firstRow="1" w:lastRow="0" w:firstColumn="0" w:lastColumn="0" w:noHBand="0" w:noVBand="0"/>
      </w:tblPr>
      <w:tblGrid>
        <w:gridCol w:w="7726"/>
        <w:gridCol w:w="1895"/>
      </w:tblGrid>
      <w:tr w:rsidR="00682F8F" w:rsidRPr="0089247B" w14:paraId="0DAD12E6" w14:textId="77777777" w:rsidTr="00682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15" w:type="pct"/>
          </w:tcPr>
          <w:p w14:paraId="6D82D89A" w14:textId="77777777" w:rsidR="00682F8F" w:rsidRPr="0089247B" w:rsidRDefault="00682F8F" w:rsidP="00AB6F36">
            <w:r>
              <w:t>Permits</w:t>
            </w:r>
          </w:p>
        </w:tc>
        <w:tc>
          <w:tcPr>
            <w:tcW w:w="985" w:type="pct"/>
          </w:tcPr>
          <w:p w14:paraId="4FBC80FC" w14:textId="77777777" w:rsidR="00682F8F" w:rsidRPr="0089247B" w:rsidRDefault="00682F8F" w:rsidP="00AB6F36"/>
        </w:tc>
      </w:tr>
      <w:tr w:rsidR="00682F8F" w:rsidRPr="0089247B" w14:paraId="68614A25" w14:textId="77777777" w:rsidTr="0068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15" w:type="pct"/>
          </w:tcPr>
          <w:p w14:paraId="43BAC2BE" w14:textId="77777777" w:rsidR="00682F8F" w:rsidRPr="00242D30" w:rsidRDefault="00682F8F" w:rsidP="00682F8F">
            <w:pPr>
              <w:pStyle w:val="TableText"/>
            </w:pPr>
            <w:r w:rsidRPr="00242D30">
              <w:t>Minor gaming permit – raffle/lucky envelope/fundraising event</w:t>
            </w:r>
          </w:p>
        </w:tc>
        <w:tc>
          <w:tcPr>
            <w:tcW w:w="985" w:type="pct"/>
          </w:tcPr>
          <w:p w14:paraId="6ECDCDE9" w14:textId="035D58CE" w:rsidR="00682F8F" w:rsidRPr="00242D30" w:rsidRDefault="00682F8F" w:rsidP="00F6565E">
            <w:pPr>
              <w:pStyle w:val="TableText"/>
              <w:jc w:val="right"/>
            </w:pPr>
            <w:r w:rsidRPr="00242D30">
              <w:t>$2</w:t>
            </w:r>
            <w:r w:rsidR="00F6565E">
              <w:t>7.70</w:t>
            </w:r>
          </w:p>
        </w:tc>
      </w:tr>
      <w:tr w:rsidR="00682F8F" w14:paraId="02B14172" w14:textId="77777777" w:rsidTr="00682F8F">
        <w:tc>
          <w:tcPr>
            <w:tcW w:w="4015" w:type="pct"/>
          </w:tcPr>
          <w:p w14:paraId="776659DC" w14:textId="77777777" w:rsidR="00682F8F" w:rsidRPr="00242D30" w:rsidRDefault="00682F8F" w:rsidP="00682F8F">
            <w:pPr>
              <w:pStyle w:val="TableText"/>
            </w:pPr>
            <w:r w:rsidRPr="00242D30">
              <w:t>Amend permit conditions – raffle/lucky envelope/fundraising event</w:t>
            </w:r>
          </w:p>
        </w:tc>
        <w:tc>
          <w:tcPr>
            <w:tcW w:w="985" w:type="pct"/>
          </w:tcPr>
          <w:p w14:paraId="2C9246C2" w14:textId="0E312903" w:rsidR="00682F8F" w:rsidRPr="00242D30" w:rsidRDefault="00682F8F" w:rsidP="00F6565E">
            <w:pPr>
              <w:pStyle w:val="TableText"/>
              <w:jc w:val="right"/>
            </w:pPr>
            <w:r w:rsidRPr="00242D30">
              <w:t>$1</w:t>
            </w:r>
            <w:r w:rsidR="00F6565E">
              <w:t>6.90</w:t>
            </w:r>
          </w:p>
        </w:tc>
      </w:tr>
      <w:tr w:rsidR="00682F8F" w14:paraId="67FE5ADD" w14:textId="77777777" w:rsidTr="0068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15" w:type="pct"/>
          </w:tcPr>
          <w:p w14:paraId="65285208" w14:textId="77777777" w:rsidR="00682F8F" w:rsidRPr="00242D30" w:rsidRDefault="00682F8F" w:rsidP="00682F8F">
            <w:pPr>
              <w:pStyle w:val="TableText"/>
            </w:pPr>
            <w:r w:rsidRPr="00242D30">
              <w:t>Approval to conduct Calcutta Sweepstakes</w:t>
            </w:r>
          </w:p>
        </w:tc>
        <w:tc>
          <w:tcPr>
            <w:tcW w:w="985" w:type="pct"/>
          </w:tcPr>
          <w:p w14:paraId="56DFEFC6" w14:textId="1D1ADC69" w:rsidR="00682F8F" w:rsidRPr="00242D30" w:rsidRDefault="00682F8F" w:rsidP="00F6565E">
            <w:pPr>
              <w:pStyle w:val="TableText"/>
              <w:jc w:val="right"/>
            </w:pPr>
            <w:r w:rsidRPr="00242D30">
              <w:t>$5</w:t>
            </w:r>
            <w:r w:rsidR="00F6565E">
              <w:t>9.00</w:t>
            </w:r>
          </w:p>
        </w:tc>
      </w:tr>
    </w:tbl>
    <w:p w14:paraId="23F0CB9F" w14:textId="77777777" w:rsidR="00682F8F" w:rsidRDefault="00682F8F" w:rsidP="00682F8F">
      <w:pPr>
        <w:pStyle w:val="Footer"/>
      </w:pPr>
    </w:p>
    <w:tbl>
      <w:tblPr>
        <w:tblStyle w:val="TableGrid"/>
        <w:tblW w:w="4717" w:type="pct"/>
        <w:tblLayout w:type="fixed"/>
        <w:tblLook w:val="0020" w:firstRow="1" w:lastRow="0" w:firstColumn="0" w:lastColumn="0" w:noHBand="0" w:noVBand="0"/>
      </w:tblPr>
      <w:tblGrid>
        <w:gridCol w:w="7726"/>
        <w:gridCol w:w="1895"/>
      </w:tblGrid>
      <w:tr w:rsidR="00682F8F" w:rsidRPr="0089247B" w14:paraId="096998DE" w14:textId="77777777" w:rsidTr="00682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15" w:type="pct"/>
          </w:tcPr>
          <w:p w14:paraId="67C0457C" w14:textId="77777777" w:rsidR="00682F8F" w:rsidRPr="0089247B" w:rsidRDefault="00682F8F" w:rsidP="00AB6F36">
            <w:r>
              <w:t>Sports controlling body</w:t>
            </w:r>
          </w:p>
        </w:tc>
        <w:tc>
          <w:tcPr>
            <w:tcW w:w="985" w:type="pct"/>
          </w:tcPr>
          <w:p w14:paraId="5636A520" w14:textId="77777777" w:rsidR="00682F8F" w:rsidRPr="0089247B" w:rsidRDefault="00682F8F" w:rsidP="00AB6F36"/>
        </w:tc>
      </w:tr>
      <w:tr w:rsidR="00682F8F" w:rsidRPr="0089247B" w14:paraId="04692A6B" w14:textId="77777777" w:rsidTr="0068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15" w:type="pct"/>
          </w:tcPr>
          <w:p w14:paraId="331A20C4" w14:textId="77777777" w:rsidR="00682F8F" w:rsidRPr="00242D30" w:rsidRDefault="00682F8F" w:rsidP="00682F8F">
            <w:pPr>
              <w:pStyle w:val="TableText"/>
            </w:pPr>
            <w:r w:rsidRPr="00242D30">
              <w:t>Approval of a sports controlling body</w:t>
            </w:r>
          </w:p>
        </w:tc>
        <w:tc>
          <w:tcPr>
            <w:tcW w:w="985" w:type="pct"/>
          </w:tcPr>
          <w:p w14:paraId="0C67C7D0" w14:textId="06DB9107" w:rsidR="00682F8F" w:rsidRPr="00242D30" w:rsidRDefault="00682F8F" w:rsidP="00F6565E">
            <w:pPr>
              <w:pStyle w:val="TableText"/>
              <w:jc w:val="right"/>
            </w:pPr>
            <w:r w:rsidRPr="00242D30">
              <w:t>$3</w:t>
            </w:r>
            <w:r w:rsidR="00F6565E">
              <w:t>,367.30</w:t>
            </w:r>
          </w:p>
        </w:tc>
      </w:tr>
    </w:tbl>
    <w:p w14:paraId="518CF2A8" w14:textId="77777777" w:rsidR="00682F8F" w:rsidRDefault="00682F8F" w:rsidP="00682F8F"/>
    <w:p w14:paraId="2746022E" w14:textId="67A026D5" w:rsidR="00682F8F" w:rsidRPr="00682F8F" w:rsidRDefault="00682F8F" w:rsidP="00682F8F">
      <w:r w:rsidRPr="00682F8F">
        <w:t>For further information on fees and fines</w:t>
      </w:r>
      <w:r>
        <w:t>,</w:t>
      </w:r>
      <w:r w:rsidRPr="00682F8F">
        <w:t xml:space="preserve"> visit </w:t>
      </w:r>
      <w:hyperlink r:id="rId8" w:history="1">
        <w:r w:rsidRPr="00682F8F">
          <w:rPr>
            <w:rStyle w:val="Hyperlink"/>
          </w:rPr>
          <w:t>vgccc.vic.gov.au</w:t>
        </w:r>
      </w:hyperlink>
      <w:r w:rsidRPr="00682F8F">
        <w:t xml:space="preserve"> or contact us on 1300 599 759 or </w:t>
      </w:r>
      <w:hyperlink r:id="rId9" w:history="1">
        <w:r w:rsidRPr="00682F8F">
          <w:rPr>
            <w:rStyle w:val="Hyperlink"/>
          </w:rPr>
          <w:t>contact@vgccc.vic.gov.au</w:t>
        </w:r>
      </w:hyperlink>
    </w:p>
    <w:p w14:paraId="43CE6ECF" w14:textId="77777777" w:rsidR="00682F8F" w:rsidRPr="00682F8F" w:rsidRDefault="00682F8F" w:rsidP="00682F8F"/>
    <w:p w14:paraId="7B2AE905" w14:textId="245FA237" w:rsidR="00E61DAA" w:rsidRPr="00682F8F" w:rsidRDefault="00682F8F" w:rsidP="00682F8F">
      <w:r w:rsidRPr="00682F8F">
        <w:t>This publication avoids the use of legal language. Information about the law may have been summarised or expressed in general statements. This information should not be relied upon as a substitute for professional legal advice or reference to the actual legislation. Authorised by the Victorian Government.</w:t>
      </w:r>
    </w:p>
    <w:sectPr w:rsidR="00E61DAA" w:rsidRPr="00682F8F" w:rsidSect="00AE43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985" w:right="851" w:bottom="1814" w:left="851" w:header="709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311E" w14:textId="77777777" w:rsidR="00682F8F" w:rsidRDefault="00682F8F" w:rsidP="00FF2500">
      <w:pPr>
        <w:spacing w:after="0"/>
      </w:pPr>
      <w:r>
        <w:separator/>
      </w:r>
    </w:p>
  </w:endnote>
  <w:endnote w:type="continuationSeparator" w:id="0">
    <w:p w14:paraId="6C9A8D0E" w14:textId="77777777" w:rsidR="00682F8F" w:rsidRDefault="00682F8F" w:rsidP="00FF2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165D" w14:textId="77777777" w:rsidR="00A31926" w:rsidRDefault="00224E16" w:rsidP="00CA5D76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50D530" w14:textId="77777777" w:rsidR="00A31926" w:rsidRDefault="00F6565E" w:rsidP="00CA5D7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0" w:type="auto"/>
      <w:tblInd w:w="0" w:type="dxa"/>
      <w:tblLook w:val="04A0" w:firstRow="1" w:lastRow="0" w:firstColumn="1" w:lastColumn="0" w:noHBand="0" w:noVBand="1"/>
    </w:tblPr>
    <w:tblGrid>
      <w:gridCol w:w="4961"/>
      <w:gridCol w:w="4962"/>
    </w:tblGrid>
    <w:tr w:rsidR="00E61DAA" w14:paraId="2B50EE30" w14:textId="77777777" w:rsidTr="00E61DA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61" w:type="dxa"/>
          <w:hideMark/>
        </w:tcPr>
        <w:p w14:paraId="6DCB47B5" w14:textId="77777777" w:rsidR="00E61DAA" w:rsidRDefault="00E61DAA" w:rsidP="00E61DAA">
          <w:pPr>
            <w:pStyle w:val="Footer"/>
          </w:pPr>
          <w:r>
            <w:t>TRIM ID:</w:t>
          </w:r>
        </w:p>
      </w:tc>
      <w:tc>
        <w:tcPr>
          <w:tcW w:w="4962" w:type="dxa"/>
          <w:hideMark/>
        </w:tcPr>
        <w:p w14:paraId="2A8AD66D" w14:textId="6F4AF8E0" w:rsidR="00E61DAA" w:rsidRDefault="00E61DAA" w:rsidP="00E61DAA">
          <w:pPr>
            <w:pStyle w:val="Foot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F6565E">
            <w:rPr>
              <w:noProof/>
            </w:rPr>
            <w:t>3</w:t>
          </w:r>
          <w:r>
            <w:fldChar w:fldCharType="end"/>
          </w:r>
        </w:p>
      </w:tc>
    </w:tr>
  </w:tbl>
  <w:p w14:paraId="5ACE7211" w14:textId="77777777" w:rsidR="00A31926" w:rsidRDefault="00F6565E" w:rsidP="00F927B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A2D6" w14:textId="77777777" w:rsidR="00E61DAA" w:rsidRDefault="00E61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4E77" w14:textId="77777777" w:rsidR="00682F8F" w:rsidRDefault="00682F8F" w:rsidP="00FF2500">
      <w:pPr>
        <w:spacing w:after="0"/>
      </w:pPr>
      <w:r>
        <w:separator/>
      </w:r>
    </w:p>
  </w:footnote>
  <w:footnote w:type="continuationSeparator" w:id="0">
    <w:p w14:paraId="6738CD73" w14:textId="77777777" w:rsidR="00682F8F" w:rsidRDefault="00682F8F" w:rsidP="00FF2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AD58" w14:textId="77777777" w:rsidR="00E61DAA" w:rsidRDefault="00E61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E345" w14:textId="77777777" w:rsidR="00CA5D76" w:rsidRDefault="00CA5D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23E20C" wp14:editId="06A3987D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7560000" cy="90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80D0" w14:textId="77777777" w:rsidR="00E61DAA" w:rsidRDefault="00E61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F1B"/>
    <w:multiLevelType w:val="multilevel"/>
    <w:tmpl w:val="25F8FE80"/>
    <w:styleLink w:val="CurrentList3"/>
    <w:lvl w:ilvl="0">
      <w:start w:val="1"/>
      <w:numFmt w:val="bullet"/>
      <w:lvlText w:val="-"/>
      <w:lvlJc w:val="left"/>
      <w:pPr>
        <w:ind w:left="567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037A"/>
    <w:multiLevelType w:val="multilevel"/>
    <w:tmpl w:val="B01E02C6"/>
    <w:styleLink w:val="CurrentList1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5C1C"/>
    <w:multiLevelType w:val="multilevel"/>
    <w:tmpl w:val="06B00C86"/>
    <w:styleLink w:val="CurrentList2"/>
    <w:lvl w:ilvl="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B7CD3"/>
    <w:multiLevelType w:val="hybridMultilevel"/>
    <w:tmpl w:val="4DA41740"/>
    <w:lvl w:ilvl="0" w:tplc="19A2B9CC">
      <w:start w:val="1"/>
      <w:numFmt w:val="bullet"/>
      <w:pStyle w:val="Bullet2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04BBE"/>
    <w:multiLevelType w:val="multilevel"/>
    <w:tmpl w:val="2EEA200A"/>
    <w:styleLink w:val="CurrentList4"/>
    <w:lvl w:ilvl="0">
      <w:start w:val="1"/>
      <w:numFmt w:val="bullet"/>
      <w:lvlText w:val="-"/>
      <w:lvlJc w:val="left"/>
      <w:pPr>
        <w:ind w:left="567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93869"/>
    <w:multiLevelType w:val="multilevel"/>
    <w:tmpl w:val="E62A686C"/>
    <w:styleLink w:val="CurrentList5"/>
    <w:lvl w:ilvl="0">
      <w:start w:val="1"/>
      <w:numFmt w:val="bullet"/>
      <w:lvlText w:val="-"/>
      <w:lvlJc w:val="left"/>
      <w:pPr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520859">
    <w:abstractNumId w:val="5"/>
  </w:num>
  <w:num w:numId="2" w16cid:durableId="1331565273">
    <w:abstractNumId w:val="7"/>
  </w:num>
  <w:num w:numId="3" w16cid:durableId="1488400313">
    <w:abstractNumId w:val="3"/>
  </w:num>
  <w:num w:numId="4" w16cid:durableId="1441991368">
    <w:abstractNumId w:val="4"/>
  </w:num>
  <w:num w:numId="5" w16cid:durableId="798114331">
    <w:abstractNumId w:val="1"/>
  </w:num>
  <w:num w:numId="6" w16cid:durableId="1886985002">
    <w:abstractNumId w:val="2"/>
  </w:num>
  <w:num w:numId="7" w16cid:durableId="107044548">
    <w:abstractNumId w:val="0"/>
  </w:num>
  <w:num w:numId="8" w16cid:durableId="106046628">
    <w:abstractNumId w:val="6"/>
  </w:num>
  <w:num w:numId="9" w16cid:durableId="11812399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8F"/>
    <w:rsid w:val="000B54E6"/>
    <w:rsid w:val="000D1240"/>
    <w:rsid w:val="000F0B55"/>
    <w:rsid w:val="000F792F"/>
    <w:rsid w:val="00105663"/>
    <w:rsid w:val="00171527"/>
    <w:rsid w:val="00174C5C"/>
    <w:rsid w:val="00194752"/>
    <w:rsid w:val="00203CE2"/>
    <w:rsid w:val="0021786D"/>
    <w:rsid w:val="0022203A"/>
    <w:rsid w:val="00224E16"/>
    <w:rsid w:val="00354F17"/>
    <w:rsid w:val="003739CE"/>
    <w:rsid w:val="00373E76"/>
    <w:rsid w:val="00380D96"/>
    <w:rsid w:val="003A42FE"/>
    <w:rsid w:val="003B2025"/>
    <w:rsid w:val="00424B95"/>
    <w:rsid w:val="004315CC"/>
    <w:rsid w:val="00436F05"/>
    <w:rsid w:val="00446CD6"/>
    <w:rsid w:val="00496DDE"/>
    <w:rsid w:val="00497818"/>
    <w:rsid w:val="004B0BC7"/>
    <w:rsid w:val="004D2486"/>
    <w:rsid w:val="0056731B"/>
    <w:rsid w:val="005A708E"/>
    <w:rsid w:val="005E4A11"/>
    <w:rsid w:val="005E52EC"/>
    <w:rsid w:val="00606023"/>
    <w:rsid w:val="006637DE"/>
    <w:rsid w:val="00682F8F"/>
    <w:rsid w:val="006B4D8F"/>
    <w:rsid w:val="00733E12"/>
    <w:rsid w:val="00774588"/>
    <w:rsid w:val="007E076B"/>
    <w:rsid w:val="007F646E"/>
    <w:rsid w:val="008C4BAB"/>
    <w:rsid w:val="00936F1D"/>
    <w:rsid w:val="009469EE"/>
    <w:rsid w:val="009C3D21"/>
    <w:rsid w:val="009C56B6"/>
    <w:rsid w:val="009E23DC"/>
    <w:rsid w:val="00A62142"/>
    <w:rsid w:val="00AA1E42"/>
    <w:rsid w:val="00AB3CF7"/>
    <w:rsid w:val="00AE4363"/>
    <w:rsid w:val="00B6703E"/>
    <w:rsid w:val="00C90F37"/>
    <w:rsid w:val="00C91E2F"/>
    <w:rsid w:val="00CA5D76"/>
    <w:rsid w:val="00D13FB2"/>
    <w:rsid w:val="00DA668B"/>
    <w:rsid w:val="00DB072B"/>
    <w:rsid w:val="00DD1E97"/>
    <w:rsid w:val="00DF7883"/>
    <w:rsid w:val="00E107AB"/>
    <w:rsid w:val="00E61DAA"/>
    <w:rsid w:val="00E72394"/>
    <w:rsid w:val="00EE1024"/>
    <w:rsid w:val="00F03522"/>
    <w:rsid w:val="00F076EC"/>
    <w:rsid w:val="00F6565E"/>
    <w:rsid w:val="00F753E7"/>
    <w:rsid w:val="00F927B0"/>
    <w:rsid w:val="00FE0332"/>
    <w:rsid w:val="00FF2500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1E1DE"/>
  <w15:chartTrackingRefBased/>
  <w15:docId w15:val="{0083D7B6-FA26-1246-989F-46BC9A74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Normal"/>
    <w:qFormat/>
    <w:rsid w:val="00682F8F"/>
    <w:pPr>
      <w:spacing w:before="120" w:after="120"/>
    </w:pPr>
    <w:rPr>
      <w:rFonts w:ascii="Arial" w:eastAsiaTheme="minorEastAsia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025"/>
    <w:pPr>
      <w:keepNext/>
      <w:keepLines/>
      <w:spacing w:before="0" w:after="480"/>
      <w:outlineLvl w:val="0"/>
    </w:pPr>
    <w:rPr>
      <w:rFonts w:eastAsiaTheme="majorEastAsia" w:cs="Times New Roman (Headings CS)"/>
      <w:b/>
      <w:color w:val="091F40"/>
      <w:sz w:val="48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76B"/>
    <w:pPr>
      <w:keepNext/>
      <w:keepLines/>
      <w:outlineLvl w:val="1"/>
    </w:pPr>
    <w:rPr>
      <w:rFonts w:eastAsiaTheme="majorEastAsia" w:cs="Times New Roman (Headings CS)"/>
      <w:b/>
      <w:color w:val="0090B9"/>
      <w:sz w:val="26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76B"/>
    <w:pPr>
      <w:keepNext/>
      <w:keepLines/>
      <w:outlineLvl w:val="2"/>
    </w:pPr>
    <w:rPr>
      <w:rFonts w:eastAsiaTheme="majorEastAsia" w:cstheme="majorBidi"/>
      <w:b/>
      <w:color w:val="0090B9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076B"/>
    <w:pPr>
      <w:keepNext/>
      <w:keepLines/>
      <w:outlineLvl w:val="3"/>
    </w:pPr>
    <w:rPr>
      <w:rFonts w:eastAsiaTheme="majorEastAsia" w:cstheme="majorBidi"/>
      <w:i/>
      <w:iCs/>
      <w:color w:val="0090B9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025"/>
    <w:rPr>
      <w:rFonts w:ascii="Arial" w:eastAsiaTheme="majorEastAsia" w:hAnsi="Arial" w:cs="Times New Roman (Headings CS)"/>
      <w:b/>
      <w:color w:val="091F40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E076B"/>
    <w:rPr>
      <w:rFonts w:ascii="Arial" w:eastAsiaTheme="majorEastAsia" w:hAnsi="Arial" w:cs="Times New Roman (Headings CS)"/>
      <w:b/>
      <w:color w:val="0090B9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E076B"/>
    <w:rPr>
      <w:rFonts w:ascii="Arial" w:eastAsiaTheme="majorEastAsia" w:hAnsi="Arial" w:cstheme="majorBidi"/>
      <w:b/>
      <w:color w:val="0090B9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69EE"/>
    <w:pPr>
      <w:tabs>
        <w:tab w:val="center" w:pos="4513"/>
        <w:tab w:val="right" w:pos="9026"/>
      </w:tabs>
      <w:spacing w:before="0"/>
    </w:pPr>
    <w:rPr>
      <w:rFonts w:eastAsia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69EE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9EE"/>
    <w:pPr>
      <w:tabs>
        <w:tab w:val="center" w:pos="4513"/>
        <w:tab w:val="right" w:pos="9026"/>
      </w:tabs>
      <w:spacing w:before="0"/>
    </w:pPr>
    <w:rPr>
      <w:rFonts w:eastAsia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69EE"/>
    <w:rPr>
      <w:sz w:val="20"/>
      <w:lang w:val="en-GB"/>
    </w:rPr>
  </w:style>
  <w:style w:type="paragraph" w:customStyle="1" w:styleId="BreakouttextOrange">
    <w:name w:val="Breakout text Orange"/>
    <w:basedOn w:val="Normal"/>
    <w:qFormat/>
    <w:rsid w:val="00203CE2"/>
    <w:pPr>
      <w:pBdr>
        <w:top w:val="single" w:sz="36" w:space="8" w:color="FFCF8A"/>
        <w:left w:val="single" w:sz="48" w:space="3" w:color="FFF1DC"/>
        <w:bottom w:val="single" w:sz="36" w:space="8" w:color="FFCF8A"/>
        <w:right w:val="single" w:sz="48" w:space="3" w:color="FFF1DC"/>
      </w:pBdr>
      <w:shd w:val="clear" w:color="0090B9" w:fill="FFF1DC"/>
      <w:spacing w:before="240" w:after="240"/>
      <w:ind w:left="142" w:right="142"/>
    </w:pPr>
    <w:rPr>
      <w:rFonts w:eastAsiaTheme="minorHAnsi" w:cstheme="minorBid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F2500"/>
    <w:pPr>
      <w:ind w:left="284" w:right="284"/>
    </w:pPr>
    <w:rPr>
      <w:rFonts w:eastAsiaTheme="minorHAnsi" w:cstheme="minorBidi"/>
      <w:i/>
      <w:iCs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FF2500"/>
    <w:rPr>
      <w:rFonts w:ascii="Arial" w:hAnsi="Arial"/>
      <w:i/>
      <w:iCs/>
      <w:sz w:val="20"/>
      <w:lang w:val="en-GB"/>
    </w:rPr>
  </w:style>
  <w:style w:type="paragraph" w:customStyle="1" w:styleId="Bullet1">
    <w:name w:val="Bullet 1"/>
    <w:basedOn w:val="Normal"/>
    <w:next w:val="Normal"/>
    <w:qFormat/>
    <w:rsid w:val="009469EE"/>
    <w:pPr>
      <w:numPr>
        <w:numId w:val="2"/>
      </w:numPr>
      <w:spacing w:before="0"/>
      <w:ind w:left="284" w:hanging="284"/>
    </w:pPr>
    <w:rPr>
      <w:rFonts w:eastAsiaTheme="minorHAnsi" w:cstheme="minorBidi"/>
      <w:lang w:eastAsia="en-US"/>
    </w:rPr>
  </w:style>
  <w:style w:type="paragraph" w:customStyle="1" w:styleId="Bullet2">
    <w:name w:val="Bullet 2"/>
    <w:basedOn w:val="Bullet1"/>
    <w:qFormat/>
    <w:rsid w:val="00936F1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9469EE"/>
    <w:pPr>
      <w:numPr>
        <w:numId w:val="4"/>
      </w:numPr>
      <w:spacing w:before="0"/>
      <w:ind w:left="284" w:hanging="284"/>
    </w:pPr>
    <w:rPr>
      <w:rFonts w:eastAsiaTheme="minorHAnsi" w:cstheme="minorBidi"/>
      <w:lang w:eastAsia="en-US"/>
    </w:rPr>
  </w:style>
  <w:style w:type="table" w:styleId="TableGrid">
    <w:name w:val="Table Grid"/>
    <w:aliases w:val="VCGLR"/>
    <w:basedOn w:val="TableNormal"/>
    <w:rsid w:val="00682F8F"/>
    <w:rPr>
      <w:sz w:val="20"/>
      <w:lang w:val="en-GB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tcMar>
        <w:top w:w="85" w:type="dxa"/>
        <w:bottom w:w="85" w:type="dxa"/>
      </w:tcMar>
    </w:tcPr>
    <w:tblStylePr w:type="firstRow">
      <w:rPr>
        <w:b/>
        <w:color w:val="FFFFFF" w:themeColor="background1"/>
      </w:rPr>
      <w:tblPr/>
      <w:tcPr>
        <w:shd w:val="clear" w:color="auto" w:fill="0090B9"/>
        <w:tcMar>
          <w:top w:w="57" w:type="dxa"/>
          <w:left w:w="108" w:type="dxa"/>
          <w:bottom w:w="57" w:type="dxa"/>
          <w:right w:w="108" w:type="dxa"/>
        </w:tcMar>
      </w:tcPr>
    </w:tblStylePr>
    <w:tblStylePr w:type="lastRow">
      <w:tblPr/>
      <w:tcPr>
        <w:tcBorders>
          <w:bottom w:val="single" w:sz="4" w:space="0" w:color="0090B9"/>
        </w:tcBorders>
        <w:shd w:val="clear" w:color="auto" w:fill="auto"/>
      </w:tcPr>
    </w:tblStylePr>
    <w:tblStylePr w:type="firstCol">
      <w:rPr>
        <w:color w:val="auto"/>
      </w:rPr>
    </w:tblStylePr>
    <w:tblStylePr w:type="band1Horz">
      <w:tblPr/>
      <w:tcPr>
        <w:shd w:val="clear" w:color="auto" w:fill="E7EEF5"/>
      </w:tcPr>
    </w:tblStylePr>
  </w:style>
  <w:style w:type="paragraph" w:customStyle="1" w:styleId="TableText">
    <w:name w:val="Table Text"/>
    <w:basedOn w:val="Normal"/>
    <w:qFormat/>
    <w:rsid w:val="00682F8F"/>
    <w:pPr>
      <w:spacing w:before="0" w:after="0"/>
    </w:pPr>
    <w:rPr>
      <w:rFonts w:eastAsiaTheme="minorHAnsi" w:cstheme="minorBidi"/>
      <w:color w:val="091F4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469EE"/>
  </w:style>
  <w:style w:type="paragraph" w:customStyle="1" w:styleId="Alphabetlist">
    <w:name w:val="Alphabet list"/>
    <w:basedOn w:val="Numberlist"/>
    <w:qFormat/>
    <w:rsid w:val="009469EE"/>
    <w:pPr>
      <w:numPr>
        <w:numId w:val="3"/>
      </w:numPr>
      <w:ind w:left="568" w:hanging="284"/>
    </w:pPr>
  </w:style>
  <w:style w:type="character" w:customStyle="1" w:styleId="Heading4Char">
    <w:name w:val="Heading 4 Char"/>
    <w:basedOn w:val="DefaultParagraphFont"/>
    <w:link w:val="Heading4"/>
    <w:uiPriority w:val="9"/>
    <w:rsid w:val="007E076B"/>
    <w:rPr>
      <w:rFonts w:ascii="Arial" w:eastAsiaTheme="majorEastAsia" w:hAnsi="Arial" w:cstheme="majorBidi"/>
      <w:i/>
      <w:iCs/>
      <w:color w:val="0090B9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F2500"/>
    <w:pPr>
      <w:spacing w:before="0" w:after="0"/>
      <w:contextualSpacing/>
    </w:pPr>
    <w:rPr>
      <w:rFonts w:eastAsiaTheme="majorEastAsia" w:cstheme="majorBidi"/>
      <w:spacing w:val="-10"/>
      <w:kern w:val="28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F2500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paragraph" w:customStyle="1" w:styleId="BreakouttextTeal">
    <w:name w:val="Breakout text Teal"/>
    <w:basedOn w:val="BreakouttextOrange"/>
    <w:qFormat/>
    <w:rsid w:val="00203CE2"/>
    <w:pPr>
      <w:pBdr>
        <w:top w:val="single" w:sz="36" w:space="8" w:color="99D5C0"/>
        <w:left w:val="single" w:sz="48" w:space="3" w:color="E7F4EE"/>
        <w:bottom w:val="single" w:sz="36" w:space="8" w:color="99D5C0"/>
        <w:right w:val="single" w:sz="48" w:space="3" w:color="E7F4EE"/>
      </w:pBdr>
      <w:shd w:val="clear" w:color="0090B9" w:fill="E7F4EE"/>
    </w:pPr>
  </w:style>
  <w:style w:type="paragraph" w:customStyle="1" w:styleId="BreakouttextBlue">
    <w:name w:val="Breakout text Blue"/>
    <w:basedOn w:val="BreakouttextTeal"/>
    <w:qFormat/>
    <w:rsid w:val="00203CE2"/>
    <w:pPr>
      <w:pBdr>
        <w:top w:val="single" w:sz="36" w:space="8" w:color="6DA8CE"/>
        <w:left w:val="single" w:sz="48" w:space="3" w:color="DDE7F0"/>
        <w:bottom w:val="single" w:sz="36" w:space="8" w:color="6DA8CE"/>
        <w:right w:val="single" w:sz="48" w:space="3" w:color="DDE7F0"/>
      </w:pBdr>
      <w:shd w:val="clear" w:color="0090B9" w:fill="DDE7F0"/>
    </w:pPr>
  </w:style>
  <w:style w:type="numbering" w:customStyle="1" w:styleId="CurrentList1">
    <w:name w:val="Current List1"/>
    <w:uiPriority w:val="99"/>
    <w:rsid w:val="00936F1D"/>
    <w:pPr>
      <w:numPr>
        <w:numId w:val="5"/>
      </w:numPr>
    </w:pPr>
  </w:style>
  <w:style w:type="numbering" w:customStyle="1" w:styleId="CurrentList2">
    <w:name w:val="Current List2"/>
    <w:uiPriority w:val="99"/>
    <w:rsid w:val="00936F1D"/>
    <w:pPr>
      <w:numPr>
        <w:numId w:val="6"/>
      </w:numPr>
    </w:pPr>
  </w:style>
  <w:style w:type="numbering" w:customStyle="1" w:styleId="CurrentList3">
    <w:name w:val="Current List3"/>
    <w:uiPriority w:val="99"/>
    <w:rsid w:val="00936F1D"/>
    <w:pPr>
      <w:numPr>
        <w:numId w:val="7"/>
      </w:numPr>
    </w:pPr>
  </w:style>
  <w:style w:type="numbering" w:customStyle="1" w:styleId="CurrentList4">
    <w:name w:val="Current List4"/>
    <w:uiPriority w:val="99"/>
    <w:rsid w:val="00936F1D"/>
    <w:pPr>
      <w:numPr>
        <w:numId w:val="8"/>
      </w:numPr>
    </w:pPr>
  </w:style>
  <w:style w:type="numbering" w:customStyle="1" w:styleId="CurrentList5">
    <w:name w:val="Current List5"/>
    <w:uiPriority w:val="99"/>
    <w:rsid w:val="00936F1D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446CD6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7B0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E61DAA"/>
    <w:rPr>
      <w:rFonts w:ascii="Times New Roman" w:eastAsia="Times New Roman" w:hAnsi="Times New Roman" w:cs="Times New Roman"/>
      <w:sz w:val="20"/>
      <w:szCs w:val="20"/>
      <w:lang w:val="en-IN" w:eastAsia="en-IN"/>
    </w:rPr>
    <w:tblPr>
      <w:tblStyleRowBandSize w:val="1"/>
      <w:tblStyleColBandSize w:val="1"/>
      <w:tblInd w:w="0" w:type="nil"/>
    </w:tblPr>
    <w:tblStylePr w:type="firstRow">
      <w:rPr>
        <w:b w:val="0"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-notnumbered">
    <w:name w:val="Heading 1 - not numbered"/>
    <w:next w:val="Normal"/>
    <w:rsid w:val="00682F8F"/>
    <w:pPr>
      <w:keepNext/>
      <w:spacing w:before="120" w:after="240"/>
      <w:outlineLvl w:val="0"/>
    </w:pPr>
    <w:rPr>
      <w:rFonts w:ascii="Arial" w:eastAsia="Times New Roman" w:hAnsi="Arial" w:cs="Arial"/>
      <w:b/>
      <w:color w:val="000000" w:themeColor="text1"/>
      <w:sz w:val="44"/>
      <w:szCs w:val="28"/>
    </w:rPr>
  </w:style>
  <w:style w:type="paragraph" w:customStyle="1" w:styleId="Heading2-notnumbered">
    <w:name w:val="Heading 2 - not numbered"/>
    <w:basedOn w:val="Heading1-notnumbered"/>
    <w:qFormat/>
    <w:rsid w:val="00682F8F"/>
    <w:rPr>
      <w:color w:val="44546A" w:themeColor="text2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682F8F"/>
  </w:style>
  <w:style w:type="character" w:customStyle="1" w:styleId="BodyTextChar">
    <w:name w:val="Body Text Char"/>
    <w:basedOn w:val="DefaultParagraphFont"/>
    <w:link w:val="BodyText"/>
    <w:uiPriority w:val="99"/>
    <w:rsid w:val="00682F8F"/>
    <w:rPr>
      <w:rFonts w:ascii="Arial" w:eastAsiaTheme="minorEastAsia" w:hAnsi="Arial" w:cs="Times New Roman"/>
      <w:sz w:val="20"/>
      <w:lang w:eastAsia="en-AU"/>
    </w:rPr>
  </w:style>
  <w:style w:type="paragraph" w:customStyle="1" w:styleId="Subheading">
    <w:name w:val="Subheading"/>
    <w:next w:val="Normal"/>
    <w:rsid w:val="00682F8F"/>
    <w:pPr>
      <w:spacing w:before="240"/>
    </w:pPr>
    <w:rPr>
      <w:rFonts w:ascii="Arial" w:eastAsia="Times" w:hAnsi="Arial" w:cs="Arial"/>
      <w:color w:val="44546A" w:themeColor="text2"/>
      <w:sz w:val="36"/>
      <w:szCs w:val="9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ccc.vic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vgccc.vic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glr.local\Branch\applications\Office%20Templates\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D7B3CF-18F1-AF4C-88AF-852A968A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17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Lewis-Toakley</dc:creator>
  <cp:keywords/>
  <dc:description/>
  <cp:lastModifiedBy>Maybelle Tana</cp:lastModifiedBy>
  <cp:revision>4</cp:revision>
  <dcterms:created xsi:type="dcterms:W3CDTF">2023-06-16T04:36:00Z</dcterms:created>
  <dcterms:modified xsi:type="dcterms:W3CDTF">2023-06-16T04:53:00Z</dcterms:modified>
</cp:coreProperties>
</file>