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CBABA" w14:textId="77777777" w:rsidR="0033015A" w:rsidRDefault="0033015A" w:rsidP="00280D5B">
      <w:pPr>
        <w:pStyle w:val="Coverpageheading"/>
      </w:pPr>
    </w:p>
    <w:p w14:paraId="7317A1D0" w14:textId="72C46422" w:rsidR="00B15C95" w:rsidRDefault="00280D5B" w:rsidP="0033015A">
      <w:pPr>
        <w:pStyle w:val="Coverpageheading"/>
        <w:jc w:val="right"/>
        <w:sectPr w:rsidR="00B15C95" w:rsidSect="00C222E9">
          <w:headerReference w:type="even" r:id="rId8"/>
          <w:headerReference w:type="default" r:id="rId9"/>
          <w:footerReference w:type="even" r:id="rId10"/>
          <w:footerReference w:type="default" r:id="rId11"/>
          <w:headerReference w:type="first" r:id="rId12"/>
          <w:footerReference w:type="first" r:id="rId13"/>
          <w:pgSz w:w="11900" w:h="16840"/>
          <w:pgMar w:top="1134" w:right="1134" w:bottom="1701" w:left="1134" w:header="709" w:footer="709" w:gutter="0"/>
          <w:cols w:space="708"/>
          <w:docGrid w:linePitch="360"/>
        </w:sectPr>
      </w:pPr>
      <w:r>
        <w:t xml:space="preserve">Corporate Plan </w:t>
      </w:r>
      <w:r w:rsidRPr="00280D5B">
        <w:rPr>
          <w:color w:val="2459A9" w:themeColor="text1"/>
        </w:rPr>
        <w:t>2020-23</w:t>
      </w:r>
    </w:p>
    <w:sdt>
      <w:sdtPr>
        <w:rPr>
          <w:rFonts w:asciiTheme="minorHAnsi" w:eastAsiaTheme="minorHAnsi" w:hAnsiTheme="minorHAnsi" w:cstheme="minorBidi"/>
          <w:b w:val="0"/>
          <w:bCs w:val="0"/>
          <w:color w:val="auto"/>
          <w:sz w:val="24"/>
          <w:szCs w:val="24"/>
          <w:lang w:val="en-GB"/>
        </w:rPr>
        <w:id w:val="-1320882233"/>
        <w:docPartObj>
          <w:docPartGallery w:val="Table of Contents"/>
          <w:docPartUnique/>
        </w:docPartObj>
      </w:sdtPr>
      <w:sdtEndPr>
        <w:rPr>
          <w:noProof/>
          <w:sz w:val="20"/>
        </w:rPr>
      </w:sdtEndPr>
      <w:sdtContent>
        <w:p w14:paraId="33B1FAD1" w14:textId="77777777" w:rsidR="00C222E9" w:rsidRPr="005C1D6D" w:rsidRDefault="00C222E9" w:rsidP="00C222E9">
          <w:pPr>
            <w:pStyle w:val="TOCHeading"/>
            <w:rPr>
              <w:rStyle w:val="Heading1Char"/>
              <w:b/>
              <w:bCs w:val="0"/>
            </w:rPr>
          </w:pPr>
          <w:r w:rsidRPr="005C1D6D">
            <w:rPr>
              <w:rStyle w:val="Heading1Char"/>
              <w:b/>
              <w:bCs w:val="0"/>
            </w:rPr>
            <w:t>Table of Contents</w:t>
          </w:r>
        </w:p>
        <w:p w14:paraId="60AC0F45" w14:textId="39897739" w:rsidR="008E1D2A" w:rsidRDefault="00612327">
          <w:pPr>
            <w:pStyle w:val="TOC1"/>
            <w:tabs>
              <w:tab w:val="right" w:leader="dot" w:pos="9622"/>
            </w:tabs>
            <w:rPr>
              <w:rFonts w:eastAsiaTheme="minorEastAsia" w:cstheme="minorBidi"/>
              <w:b w:val="0"/>
              <w:bCs w:val="0"/>
              <w:iCs w:val="0"/>
              <w:noProof/>
              <w:sz w:val="24"/>
              <w:lang w:val="en-AU" w:eastAsia="en-GB"/>
            </w:rPr>
          </w:pPr>
          <w:r>
            <w:rPr>
              <w:b w:val="0"/>
              <w:bCs w:val="0"/>
            </w:rPr>
            <w:fldChar w:fldCharType="begin"/>
          </w:r>
          <w:r>
            <w:rPr>
              <w:b w:val="0"/>
              <w:bCs w:val="0"/>
            </w:rPr>
            <w:instrText xml:space="preserve"> TOC \o "1-2" \h \z \u </w:instrText>
          </w:r>
          <w:r>
            <w:rPr>
              <w:b w:val="0"/>
              <w:bCs w:val="0"/>
            </w:rPr>
            <w:fldChar w:fldCharType="separate"/>
          </w:r>
          <w:hyperlink w:anchor="_Toc50640831" w:history="1">
            <w:r w:rsidR="008E1D2A" w:rsidRPr="005B575D">
              <w:rPr>
                <w:rStyle w:val="Hyperlink"/>
                <w:noProof/>
                <w:lang w:val="en-AU"/>
              </w:rPr>
              <w:t>Message from the CEO and Chair</w:t>
            </w:r>
            <w:r w:rsidR="008E1D2A">
              <w:rPr>
                <w:noProof/>
                <w:webHidden/>
              </w:rPr>
              <w:tab/>
            </w:r>
            <w:r w:rsidR="008E1D2A">
              <w:rPr>
                <w:noProof/>
                <w:webHidden/>
              </w:rPr>
              <w:fldChar w:fldCharType="begin"/>
            </w:r>
            <w:r w:rsidR="008E1D2A">
              <w:rPr>
                <w:noProof/>
                <w:webHidden/>
              </w:rPr>
              <w:instrText xml:space="preserve"> PAGEREF _Toc50640831 \h </w:instrText>
            </w:r>
            <w:r w:rsidR="008E1D2A">
              <w:rPr>
                <w:noProof/>
                <w:webHidden/>
              </w:rPr>
            </w:r>
            <w:r w:rsidR="008E1D2A">
              <w:rPr>
                <w:noProof/>
                <w:webHidden/>
              </w:rPr>
              <w:fldChar w:fldCharType="separate"/>
            </w:r>
            <w:r w:rsidR="008E1D2A">
              <w:rPr>
                <w:noProof/>
                <w:webHidden/>
              </w:rPr>
              <w:t>3</w:t>
            </w:r>
            <w:r w:rsidR="008E1D2A">
              <w:rPr>
                <w:noProof/>
                <w:webHidden/>
              </w:rPr>
              <w:fldChar w:fldCharType="end"/>
            </w:r>
          </w:hyperlink>
        </w:p>
        <w:p w14:paraId="43D2C34D" w14:textId="2B3E8249"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32" w:history="1">
            <w:r w:rsidR="008E1D2A" w:rsidRPr="005B575D">
              <w:rPr>
                <w:rStyle w:val="Hyperlink"/>
                <w:noProof/>
              </w:rPr>
              <w:t>Overview of the VCGLR</w:t>
            </w:r>
            <w:r w:rsidR="008E1D2A">
              <w:rPr>
                <w:noProof/>
                <w:webHidden/>
              </w:rPr>
              <w:tab/>
            </w:r>
            <w:r w:rsidR="008E1D2A">
              <w:rPr>
                <w:noProof/>
                <w:webHidden/>
              </w:rPr>
              <w:fldChar w:fldCharType="begin"/>
            </w:r>
            <w:r w:rsidR="008E1D2A">
              <w:rPr>
                <w:noProof/>
                <w:webHidden/>
              </w:rPr>
              <w:instrText xml:space="preserve"> PAGEREF _Toc50640832 \h </w:instrText>
            </w:r>
            <w:r w:rsidR="008E1D2A">
              <w:rPr>
                <w:noProof/>
                <w:webHidden/>
              </w:rPr>
            </w:r>
            <w:r w:rsidR="008E1D2A">
              <w:rPr>
                <w:noProof/>
                <w:webHidden/>
              </w:rPr>
              <w:fldChar w:fldCharType="separate"/>
            </w:r>
            <w:r w:rsidR="008E1D2A">
              <w:rPr>
                <w:noProof/>
                <w:webHidden/>
              </w:rPr>
              <w:t>5</w:t>
            </w:r>
            <w:r w:rsidR="008E1D2A">
              <w:rPr>
                <w:noProof/>
                <w:webHidden/>
              </w:rPr>
              <w:fldChar w:fldCharType="end"/>
            </w:r>
          </w:hyperlink>
        </w:p>
        <w:p w14:paraId="079B36C5" w14:textId="06680538"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33" w:history="1">
            <w:r w:rsidR="008E1D2A" w:rsidRPr="005B575D">
              <w:rPr>
                <w:rStyle w:val="Hyperlink"/>
                <w:noProof/>
              </w:rPr>
              <w:t>Our organisational structure</w:t>
            </w:r>
            <w:r w:rsidR="008E1D2A">
              <w:rPr>
                <w:noProof/>
                <w:webHidden/>
              </w:rPr>
              <w:tab/>
            </w:r>
            <w:r w:rsidR="008E1D2A">
              <w:rPr>
                <w:noProof/>
                <w:webHidden/>
              </w:rPr>
              <w:fldChar w:fldCharType="begin"/>
            </w:r>
            <w:r w:rsidR="008E1D2A">
              <w:rPr>
                <w:noProof/>
                <w:webHidden/>
              </w:rPr>
              <w:instrText xml:space="preserve"> PAGEREF _Toc50640833 \h </w:instrText>
            </w:r>
            <w:r w:rsidR="008E1D2A">
              <w:rPr>
                <w:noProof/>
                <w:webHidden/>
              </w:rPr>
            </w:r>
            <w:r w:rsidR="008E1D2A">
              <w:rPr>
                <w:noProof/>
                <w:webHidden/>
              </w:rPr>
              <w:fldChar w:fldCharType="separate"/>
            </w:r>
            <w:r w:rsidR="008E1D2A">
              <w:rPr>
                <w:noProof/>
                <w:webHidden/>
              </w:rPr>
              <w:t>6</w:t>
            </w:r>
            <w:r w:rsidR="008E1D2A">
              <w:rPr>
                <w:noProof/>
                <w:webHidden/>
              </w:rPr>
              <w:fldChar w:fldCharType="end"/>
            </w:r>
          </w:hyperlink>
        </w:p>
        <w:p w14:paraId="6890D637" w14:textId="31218B24"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34" w:history="1">
            <w:r w:rsidR="008E1D2A" w:rsidRPr="005B575D">
              <w:rPr>
                <w:rStyle w:val="Hyperlink"/>
                <w:noProof/>
              </w:rPr>
              <w:t>Overview of industry</w:t>
            </w:r>
            <w:r w:rsidR="008E1D2A">
              <w:rPr>
                <w:noProof/>
                <w:webHidden/>
              </w:rPr>
              <w:tab/>
            </w:r>
            <w:r w:rsidR="008E1D2A">
              <w:rPr>
                <w:noProof/>
                <w:webHidden/>
              </w:rPr>
              <w:fldChar w:fldCharType="begin"/>
            </w:r>
            <w:r w:rsidR="008E1D2A">
              <w:rPr>
                <w:noProof/>
                <w:webHidden/>
              </w:rPr>
              <w:instrText xml:space="preserve"> PAGEREF _Toc50640834 \h </w:instrText>
            </w:r>
            <w:r w:rsidR="008E1D2A">
              <w:rPr>
                <w:noProof/>
                <w:webHidden/>
              </w:rPr>
            </w:r>
            <w:r w:rsidR="008E1D2A">
              <w:rPr>
                <w:noProof/>
                <w:webHidden/>
              </w:rPr>
              <w:fldChar w:fldCharType="separate"/>
            </w:r>
            <w:r w:rsidR="008E1D2A">
              <w:rPr>
                <w:noProof/>
                <w:webHidden/>
              </w:rPr>
              <w:t>7</w:t>
            </w:r>
            <w:r w:rsidR="008E1D2A">
              <w:rPr>
                <w:noProof/>
                <w:webHidden/>
              </w:rPr>
              <w:fldChar w:fldCharType="end"/>
            </w:r>
          </w:hyperlink>
        </w:p>
        <w:p w14:paraId="1776F418" w14:textId="1AE4350B" w:rsidR="008E1D2A" w:rsidRDefault="00ED0482">
          <w:pPr>
            <w:pStyle w:val="TOC2"/>
            <w:tabs>
              <w:tab w:val="right" w:leader="dot" w:pos="9622"/>
            </w:tabs>
            <w:rPr>
              <w:rFonts w:eastAsiaTheme="minorEastAsia" w:cstheme="minorBidi"/>
              <w:bCs w:val="0"/>
              <w:noProof/>
              <w:sz w:val="24"/>
              <w:szCs w:val="24"/>
              <w:lang w:val="en-AU" w:eastAsia="en-GB"/>
            </w:rPr>
          </w:pPr>
          <w:hyperlink w:anchor="_Toc50640835" w:history="1">
            <w:r w:rsidR="008E1D2A" w:rsidRPr="005B575D">
              <w:rPr>
                <w:rStyle w:val="Hyperlink"/>
                <w:noProof/>
              </w:rPr>
              <w:t>Key statistics</w:t>
            </w:r>
            <w:r w:rsidR="008E1D2A">
              <w:rPr>
                <w:noProof/>
                <w:webHidden/>
              </w:rPr>
              <w:tab/>
            </w:r>
            <w:r w:rsidR="008E1D2A">
              <w:rPr>
                <w:noProof/>
                <w:webHidden/>
              </w:rPr>
              <w:fldChar w:fldCharType="begin"/>
            </w:r>
            <w:r w:rsidR="008E1D2A">
              <w:rPr>
                <w:noProof/>
                <w:webHidden/>
              </w:rPr>
              <w:instrText xml:space="preserve"> PAGEREF _Toc50640835 \h </w:instrText>
            </w:r>
            <w:r w:rsidR="008E1D2A">
              <w:rPr>
                <w:noProof/>
                <w:webHidden/>
              </w:rPr>
            </w:r>
            <w:r w:rsidR="008E1D2A">
              <w:rPr>
                <w:noProof/>
                <w:webHidden/>
              </w:rPr>
              <w:fldChar w:fldCharType="separate"/>
            </w:r>
            <w:r w:rsidR="008E1D2A">
              <w:rPr>
                <w:noProof/>
                <w:webHidden/>
              </w:rPr>
              <w:t>7</w:t>
            </w:r>
            <w:r w:rsidR="008E1D2A">
              <w:rPr>
                <w:noProof/>
                <w:webHidden/>
              </w:rPr>
              <w:fldChar w:fldCharType="end"/>
            </w:r>
          </w:hyperlink>
        </w:p>
        <w:p w14:paraId="497EF6B7" w14:textId="722394DE"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36" w:history="1">
            <w:r w:rsidR="008E1D2A" w:rsidRPr="005B575D">
              <w:rPr>
                <w:rStyle w:val="Hyperlink"/>
                <w:noProof/>
              </w:rPr>
              <w:t>Our vision</w:t>
            </w:r>
            <w:r w:rsidR="008E1D2A">
              <w:rPr>
                <w:noProof/>
                <w:webHidden/>
              </w:rPr>
              <w:tab/>
            </w:r>
            <w:r w:rsidR="008E1D2A">
              <w:rPr>
                <w:noProof/>
                <w:webHidden/>
              </w:rPr>
              <w:fldChar w:fldCharType="begin"/>
            </w:r>
            <w:r w:rsidR="008E1D2A">
              <w:rPr>
                <w:noProof/>
                <w:webHidden/>
              </w:rPr>
              <w:instrText xml:space="preserve"> PAGEREF _Toc50640836 \h </w:instrText>
            </w:r>
            <w:r w:rsidR="008E1D2A">
              <w:rPr>
                <w:noProof/>
                <w:webHidden/>
              </w:rPr>
            </w:r>
            <w:r w:rsidR="008E1D2A">
              <w:rPr>
                <w:noProof/>
                <w:webHidden/>
              </w:rPr>
              <w:fldChar w:fldCharType="separate"/>
            </w:r>
            <w:r w:rsidR="008E1D2A">
              <w:rPr>
                <w:noProof/>
                <w:webHidden/>
              </w:rPr>
              <w:t>7</w:t>
            </w:r>
            <w:r w:rsidR="008E1D2A">
              <w:rPr>
                <w:noProof/>
                <w:webHidden/>
              </w:rPr>
              <w:fldChar w:fldCharType="end"/>
            </w:r>
          </w:hyperlink>
        </w:p>
        <w:p w14:paraId="26CB9496" w14:textId="3644D740"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37" w:history="1">
            <w:r w:rsidR="008E1D2A" w:rsidRPr="005B575D">
              <w:rPr>
                <w:rStyle w:val="Hyperlink"/>
                <w:noProof/>
              </w:rPr>
              <w:t>Our purpose</w:t>
            </w:r>
            <w:r w:rsidR="008E1D2A">
              <w:rPr>
                <w:noProof/>
                <w:webHidden/>
              </w:rPr>
              <w:tab/>
            </w:r>
            <w:r w:rsidR="008E1D2A">
              <w:rPr>
                <w:noProof/>
                <w:webHidden/>
              </w:rPr>
              <w:fldChar w:fldCharType="begin"/>
            </w:r>
            <w:r w:rsidR="008E1D2A">
              <w:rPr>
                <w:noProof/>
                <w:webHidden/>
              </w:rPr>
              <w:instrText xml:space="preserve"> PAGEREF _Toc50640837 \h </w:instrText>
            </w:r>
            <w:r w:rsidR="008E1D2A">
              <w:rPr>
                <w:noProof/>
                <w:webHidden/>
              </w:rPr>
            </w:r>
            <w:r w:rsidR="008E1D2A">
              <w:rPr>
                <w:noProof/>
                <w:webHidden/>
              </w:rPr>
              <w:fldChar w:fldCharType="separate"/>
            </w:r>
            <w:r w:rsidR="008E1D2A">
              <w:rPr>
                <w:noProof/>
                <w:webHidden/>
              </w:rPr>
              <w:t>8</w:t>
            </w:r>
            <w:r w:rsidR="008E1D2A">
              <w:rPr>
                <w:noProof/>
                <w:webHidden/>
              </w:rPr>
              <w:fldChar w:fldCharType="end"/>
            </w:r>
          </w:hyperlink>
        </w:p>
        <w:p w14:paraId="6B100A9E" w14:textId="24D7B924"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38" w:history="1">
            <w:r w:rsidR="008E1D2A" w:rsidRPr="005B575D">
              <w:rPr>
                <w:rStyle w:val="Hyperlink"/>
                <w:noProof/>
              </w:rPr>
              <w:t>Our values</w:t>
            </w:r>
            <w:r w:rsidR="008E1D2A">
              <w:rPr>
                <w:noProof/>
                <w:webHidden/>
              </w:rPr>
              <w:tab/>
            </w:r>
            <w:r w:rsidR="008E1D2A">
              <w:rPr>
                <w:noProof/>
                <w:webHidden/>
              </w:rPr>
              <w:fldChar w:fldCharType="begin"/>
            </w:r>
            <w:r w:rsidR="008E1D2A">
              <w:rPr>
                <w:noProof/>
                <w:webHidden/>
              </w:rPr>
              <w:instrText xml:space="preserve"> PAGEREF _Toc50640838 \h </w:instrText>
            </w:r>
            <w:r w:rsidR="008E1D2A">
              <w:rPr>
                <w:noProof/>
                <w:webHidden/>
              </w:rPr>
            </w:r>
            <w:r w:rsidR="008E1D2A">
              <w:rPr>
                <w:noProof/>
                <w:webHidden/>
              </w:rPr>
              <w:fldChar w:fldCharType="separate"/>
            </w:r>
            <w:r w:rsidR="008E1D2A">
              <w:rPr>
                <w:noProof/>
                <w:webHidden/>
              </w:rPr>
              <w:t>8</w:t>
            </w:r>
            <w:r w:rsidR="008E1D2A">
              <w:rPr>
                <w:noProof/>
                <w:webHidden/>
              </w:rPr>
              <w:fldChar w:fldCharType="end"/>
            </w:r>
          </w:hyperlink>
        </w:p>
        <w:p w14:paraId="61743E37" w14:textId="73C039EC"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39" w:history="1">
            <w:r w:rsidR="008E1D2A" w:rsidRPr="005B575D">
              <w:rPr>
                <w:rStyle w:val="Hyperlink"/>
                <w:noProof/>
              </w:rPr>
              <w:t>The plan</w:t>
            </w:r>
            <w:r w:rsidR="008E1D2A">
              <w:rPr>
                <w:noProof/>
                <w:webHidden/>
              </w:rPr>
              <w:tab/>
            </w:r>
            <w:r w:rsidR="008E1D2A">
              <w:rPr>
                <w:noProof/>
                <w:webHidden/>
              </w:rPr>
              <w:fldChar w:fldCharType="begin"/>
            </w:r>
            <w:r w:rsidR="008E1D2A">
              <w:rPr>
                <w:noProof/>
                <w:webHidden/>
              </w:rPr>
              <w:instrText xml:space="preserve"> PAGEREF _Toc50640839 \h </w:instrText>
            </w:r>
            <w:r w:rsidR="008E1D2A">
              <w:rPr>
                <w:noProof/>
                <w:webHidden/>
              </w:rPr>
            </w:r>
            <w:r w:rsidR="008E1D2A">
              <w:rPr>
                <w:noProof/>
                <w:webHidden/>
              </w:rPr>
              <w:fldChar w:fldCharType="separate"/>
            </w:r>
            <w:r w:rsidR="008E1D2A">
              <w:rPr>
                <w:noProof/>
                <w:webHidden/>
              </w:rPr>
              <w:t>9</w:t>
            </w:r>
            <w:r w:rsidR="008E1D2A">
              <w:rPr>
                <w:noProof/>
                <w:webHidden/>
              </w:rPr>
              <w:fldChar w:fldCharType="end"/>
            </w:r>
          </w:hyperlink>
        </w:p>
        <w:p w14:paraId="4383B6B2" w14:textId="116742A3"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40" w:history="1">
            <w:r w:rsidR="008E1D2A" w:rsidRPr="005B575D">
              <w:rPr>
                <w:rStyle w:val="Hyperlink"/>
                <w:noProof/>
              </w:rPr>
              <w:t>Our outcomes</w:t>
            </w:r>
            <w:r w:rsidR="008E1D2A">
              <w:rPr>
                <w:noProof/>
                <w:webHidden/>
              </w:rPr>
              <w:tab/>
            </w:r>
            <w:r w:rsidR="008E1D2A">
              <w:rPr>
                <w:noProof/>
                <w:webHidden/>
              </w:rPr>
              <w:fldChar w:fldCharType="begin"/>
            </w:r>
            <w:r w:rsidR="008E1D2A">
              <w:rPr>
                <w:noProof/>
                <w:webHidden/>
              </w:rPr>
              <w:instrText xml:space="preserve"> PAGEREF _Toc50640840 \h </w:instrText>
            </w:r>
            <w:r w:rsidR="008E1D2A">
              <w:rPr>
                <w:noProof/>
                <w:webHidden/>
              </w:rPr>
            </w:r>
            <w:r w:rsidR="008E1D2A">
              <w:rPr>
                <w:noProof/>
                <w:webHidden/>
              </w:rPr>
              <w:fldChar w:fldCharType="separate"/>
            </w:r>
            <w:r w:rsidR="008E1D2A">
              <w:rPr>
                <w:noProof/>
                <w:webHidden/>
              </w:rPr>
              <w:t>10</w:t>
            </w:r>
            <w:r w:rsidR="008E1D2A">
              <w:rPr>
                <w:noProof/>
                <w:webHidden/>
              </w:rPr>
              <w:fldChar w:fldCharType="end"/>
            </w:r>
          </w:hyperlink>
        </w:p>
        <w:p w14:paraId="2F04A807" w14:textId="27FEADAE" w:rsidR="008E1D2A" w:rsidRDefault="00ED0482">
          <w:pPr>
            <w:pStyle w:val="TOC2"/>
            <w:tabs>
              <w:tab w:val="right" w:leader="dot" w:pos="9622"/>
            </w:tabs>
            <w:rPr>
              <w:rFonts w:eastAsiaTheme="minorEastAsia" w:cstheme="minorBidi"/>
              <w:bCs w:val="0"/>
              <w:noProof/>
              <w:sz w:val="24"/>
              <w:szCs w:val="24"/>
              <w:lang w:val="en-AU" w:eastAsia="en-GB"/>
            </w:rPr>
          </w:pPr>
          <w:hyperlink w:anchor="_Toc50640841" w:history="1">
            <w:r w:rsidR="008E1D2A" w:rsidRPr="005B575D">
              <w:rPr>
                <w:rStyle w:val="Hyperlink"/>
                <w:noProof/>
              </w:rPr>
              <w:t>High levels of confidence in VCGLR</w:t>
            </w:r>
            <w:r w:rsidR="008E1D2A">
              <w:rPr>
                <w:noProof/>
                <w:webHidden/>
              </w:rPr>
              <w:tab/>
            </w:r>
            <w:r w:rsidR="008E1D2A">
              <w:rPr>
                <w:noProof/>
                <w:webHidden/>
              </w:rPr>
              <w:fldChar w:fldCharType="begin"/>
            </w:r>
            <w:r w:rsidR="008E1D2A">
              <w:rPr>
                <w:noProof/>
                <w:webHidden/>
              </w:rPr>
              <w:instrText xml:space="preserve"> PAGEREF _Toc50640841 \h </w:instrText>
            </w:r>
            <w:r w:rsidR="008E1D2A">
              <w:rPr>
                <w:noProof/>
                <w:webHidden/>
              </w:rPr>
            </w:r>
            <w:r w:rsidR="008E1D2A">
              <w:rPr>
                <w:noProof/>
                <w:webHidden/>
              </w:rPr>
              <w:fldChar w:fldCharType="separate"/>
            </w:r>
            <w:r w:rsidR="008E1D2A">
              <w:rPr>
                <w:noProof/>
                <w:webHidden/>
              </w:rPr>
              <w:t>10</w:t>
            </w:r>
            <w:r w:rsidR="008E1D2A">
              <w:rPr>
                <w:noProof/>
                <w:webHidden/>
              </w:rPr>
              <w:fldChar w:fldCharType="end"/>
            </w:r>
          </w:hyperlink>
        </w:p>
        <w:p w14:paraId="60AED475" w14:textId="24B910E5" w:rsidR="008E1D2A" w:rsidRDefault="00ED0482">
          <w:pPr>
            <w:pStyle w:val="TOC2"/>
            <w:tabs>
              <w:tab w:val="right" w:leader="dot" w:pos="9622"/>
            </w:tabs>
            <w:rPr>
              <w:rFonts w:eastAsiaTheme="minorEastAsia" w:cstheme="minorBidi"/>
              <w:bCs w:val="0"/>
              <w:noProof/>
              <w:sz w:val="24"/>
              <w:szCs w:val="24"/>
              <w:lang w:val="en-AU" w:eastAsia="en-GB"/>
            </w:rPr>
          </w:pPr>
          <w:hyperlink w:anchor="_Toc50640842" w:history="1">
            <w:r w:rsidR="008E1D2A" w:rsidRPr="005B575D">
              <w:rPr>
                <w:rStyle w:val="Hyperlink"/>
                <w:noProof/>
                <w:lang w:val="en-US"/>
              </w:rPr>
              <w:t>Improved industry compliance</w:t>
            </w:r>
            <w:r w:rsidR="008E1D2A">
              <w:rPr>
                <w:noProof/>
                <w:webHidden/>
              </w:rPr>
              <w:tab/>
            </w:r>
            <w:r w:rsidR="008E1D2A">
              <w:rPr>
                <w:noProof/>
                <w:webHidden/>
              </w:rPr>
              <w:fldChar w:fldCharType="begin"/>
            </w:r>
            <w:r w:rsidR="008E1D2A">
              <w:rPr>
                <w:noProof/>
                <w:webHidden/>
              </w:rPr>
              <w:instrText xml:space="preserve"> PAGEREF _Toc50640842 \h </w:instrText>
            </w:r>
            <w:r w:rsidR="008E1D2A">
              <w:rPr>
                <w:noProof/>
                <w:webHidden/>
              </w:rPr>
            </w:r>
            <w:r w:rsidR="008E1D2A">
              <w:rPr>
                <w:noProof/>
                <w:webHidden/>
              </w:rPr>
              <w:fldChar w:fldCharType="separate"/>
            </w:r>
            <w:r w:rsidR="008E1D2A">
              <w:rPr>
                <w:noProof/>
                <w:webHidden/>
              </w:rPr>
              <w:t>11</w:t>
            </w:r>
            <w:r w:rsidR="008E1D2A">
              <w:rPr>
                <w:noProof/>
                <w:webHidden/>
              </w:rPr>
              <w:fldChar w:fldCharType="end"/>
            </w:r>
          </w:hyperlink>
        </w:p>
        <w:p w14:paraId="2E196406" w14:textId="73195FC1" w:rsidR="008E1D2A" w:rsidRDefault="00ED0482">
          <w:pPr>
            <w:pStyle w:val="TOC2"/>
            <w:tabs>
              <w:tab w:val="right" w:leader="dot" w:pos="9622"/>
            </w:tabs>
            <w:rPr>
              <w:rFonts w:eastAsiaTheme="minorEastAsia" w:cstheme="minorBidi"/>
              <w:bCs w:val="0"/>
              <w:noProof/>
              <w:sz w:val="24"/>
              <w:szCs w:val="24"/>
              <w:lang w:val="en-AU" w:eastAsia="en-GB"/>
            </w:rPr>
          </w:pPr>
          <w:hyperlink w:anchor="_Toc50640843" w:history="1">
            <w:r w:rsidR="008E1D2A" w:rsidRPr="005B575D">
              <w:rPr>
                <w:rStyle w:val="Hyperlink"/>
                <w:noProof/>
                <w:lang w:val="en-US"/>
              </w:rPr>
              <w:t>VCGLR is easy to access</w:t>
            </w:r>
            <w:r w:rsidR="008E1D2A">
              <w:rPr>
                <w:noProof/>
                <w:webHidden/>
              </w:rPr>
              <w:tab/>
            </w:r>
            <w:r w:rsidR="008E1D2A">
              <w:rPr>
                <w:noProof/>
                <w:webHidden/>
              </w:rPr>
              <w:fldChar w:fldCharType="begin"/>
            </w:r>
            <w:r w:rsidR="008E1D2A">
              <w:rPr>
                <w:noProof/>
                <w:webHidden/>
              </w:rPr>
              <w:instrText xml:space="preserve"> PAGEREF _Toc50640843 \h </w:instrText>
            </w:r>
            <w:r w:rsidR="008E1D2A">
              <w:rPr>
                <w:noProof/>
                <w:webHidden/>
              </w:rPr>
            </w:r>
            <w:r w:rsidR="008E1D2A">
              <w:rPr>
                <w:noProof/>
                <w:webHidden/>
              </w:rPr>
              <w:fldChar w:fldCharType="separate"/>
            </w:r>
            <w:r w:rsidR="008E1D2A">
              <w:rPr>
                <w:noProof/>
                <w:webHidden/>
              </w:rPr>
              <w:t>11</w:t>
            </w:r>
            <w:r w:rsidR="008E1D2A">
              <w:rPr>
                <w:noProof/>
                <w:webHidden/>
              </w:rPr>
              <w:fldChar w:fldCharType="end"/>
            </w:r>
          </w:hyperlink>
        </w:p>
        <w:p w14:paraId="1F1EF3A7" w14:textId="00D01081" w:rsidR="008E1D2A" w:rsidRDefault="00ED0482">
          <w:pPr>
            <w:pStyle w:val="TOC2"/>
            <w:tabs>
              <w:tab w:val="right" w:leader="dot" w:pos="9622"/>
            </w:tabs>
            <w:rPr>
              <w:rFonts w:eastAsiaTheme="minorEastAsia" w:cstheme="minorBidi"/>
              <w:bCs w:val="0"/>
              <w:noProof/>
              <w:sz w:val="24"/>
              <w:szCs w:val="24"/>
              <w:lang w:val="en-AU" w:eastAsia="en-GB"/>
            </w:rPr>
          </w:pPr>
          <w:hyperlink w:anchor="_Toc50640844" w:history="1">
            <w:r w:rsidR="008E1D2A" w:rsidRPr="005B575D">
              <w:rPr>
                <w:rStyle w:val="Hyperlink"/>
                <w:noProof/>
                <w:lang w:val="en-US"/>
              </w:rPr>
              <w:t>VCGLR is a sustainable organisation</w:t>
            </w:r>
            <w:r w:rsidR="008E1D2A">
              <w:rPr>
                <w:noProof/>
                <w:webHidden/>
              </w:rPr>
              <w:tab/>
            </w:r>
            <w:r w:rsidR="008E1D2A">
              <w:rPr>
                <w:noProof/>
                <w:webHidden/>
              </w:rPr>
              <w:fldChar w:fldCharType="begin"/>
            </w:r>
            <w:r w:rsidR="008E1D2A">
              <w:rPr>
                <w:noProof/>
                <w:webHidden/>
              </w:rPr>
              <w:instrText xml:space="preserve"> PAGEREF _Toc50640844 \h </w:instrText>
            </w:r>
            <w:r w:rsidR="008E1D2A">
              <w:rPr>
                <w:noProof/>
                <w:webHidden/>
              </w:rPr>
            </w:r>
            <w:r w:rsidR="008E1D2A">
              <w:rPr>
                <w:noProof/>
                <w:webHidden/>
              </w:rPr>
              <w:fldChar w:fldCharType="separate"/>
            </w:r>
            <w:r w:rsidR="008E1D2A">
              <w:rPr>
                <w:noProof/>
                <w:webHidden/>
              </w:rPr>
              <w:t>12</w:t>
            </w:r>
            <w:r w:rsidR="008E1D2A">
              <w:rPr>
                <w:noProof/>
                <w:webHidden/>
              </w:rPr>
              <w:fldChar w:fldCharType="end"/>
            </w:r>
          </w:hyperlink>
        </w:p>
        <w:p w14:paraId="01760D5C" w14:textId="57E0BCBC"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45" w:history="1">
            <w:r w:rsidR="008E1D2A" w:rsidRPr="005B575D">
              <w:rPr>
                <w:rStyle w:val="Hyperlink"/>
                <w:noProof/>
              </w:rPr>
              <w:t>Our strategic priorities</w:t>
            </w:r>
            <w:r w:rsidR="008E1D2A">
              <w:rPr>
                <w:noProof/>
                <w:webHidden/>
              </w:rPr>
              <w:tab/>
            </w:r>
            <w:r w:rsidR="008E1D2A">
              <w:rPr>
                <w:noProof/>
                <w:webHidden/>
              </w:rPr>
              <w:fldChar w:fldCharType="begin"/>
            </w:r>
            <w:r w:rsidR="008E1D2A">
              <w:rPr>
                <w:noProof/>
                <w:webHidden/>
              </w:rPr>
              <w:instrText xml:space="preserve"> PAGEREF _Toc50640845 \h </w:instrText>
            </w:r>
            <w:r w:rsidR="008E1D2A">
              <w:rPr>
                <w:noProof/>
                <w:webHidden/>
              </w:rPr>
            </w:r>
            <w:r w:rsidR="008E1D2A">
              <w:rPr>
                <w:noProof/>
                <w:webHidden/>
              </w:rPr>
              <w:fldChar w:fldCharType="separate"/>
            </w:r>
            <w:r w:rsidR="008E1D2A">
              <w:rPr>
                <w:noProof/>
                <w:webHidden/>
              </w:rPr>
              <w:t>14</w:t>
            </w:r>
            <w:r w:rsidR="008E1D2A">
              <w:rPr>
                <w:noProof/>
                <w:webHidden/>
              </w:rPr>
              <w:fldChar w:fldCharType="end"/>
            </w:r>
          </w:hyperlink>
        </w:p>
        <w:p w14:paraId="28EB4509" w14:textId="50F3F1A2" w:rsidR="008E1D2A" w:rsidRDefault="00ED0482">
          <w:pPr>
            <w:pStyle w:val="TOC2"/>
            <w:tabs>
              <w:tab w:val="right" w:leader="dot" w:pos="9622"/>
            </w:tabs>
            <w:rPr>
              <w:rFonts w:eastAsiaTheme="minorEastAsia" w:cstheme="minorBidi"/>
              <w:bCs w:val="0"/>
              <w:noProof/>
              <w:sz w:val="24"/>
              <w:szCs w:val="24"/>
              <w:lang w:val="en-AU" w:eastAsia="en-GB"/>
            </w:rPr>
          </w:pPr>
          <w:hyperlink w:anchor="_Toc50640846" w:history="1">
            <w:r w:rsidR="008E1D2A" w:rsidRPr="005B575D">
              <w:rPr>
                <w:rStyle w:val="Hyperlink"/>
                <w:noProof/>
              </w:rPr>
              <w:t>Be an influential regulator</w:t>
            </w:r>
            <w:r w:rsidR="008E1D2A">
              <w:rPr>
                <w:noProof/>
                <w:webHidden/>
              </w:rPr>
              <w:tab/>
            </w:r>
            <w:r w:rsidR="008E1D2A">
              <w:rPr>
                <w:noProof/>
                <w:webHidden/>
              </w:rPr>
              <w:fldChar w:fldCharType="begin"/>
            </w:r>
            <w:r w:rsidR="008E1D2A">
              <w:rPr>
                <w:noProof/>
                <w:webHidden/>
              </w:rPr>
              <w:instrText xml:space="preserve"> PAGEREF _Toc50640846 \h </w:instrText>
            </w:r>
            <w:r w:rsidR="008E1D2A">
              <w:rPr>
                <w:noProof/>
                <w:webHidden/>
              </w:rPr>
            </w:r>
            <w:r w:rsidR="008E1D2A">
              <w:rPr>
                <w:noProof/>
                <w:webHidden/>
              </w:rPr>
              <w:fldChar w:fldCharType="separate"/>
            </w:r>
            <w:r w:rsidR="008E1D2A">
              <w:rPr>
                <w:noProof/>
                <w:webHidden/>
              </w:rPr>
              <w:t>14</w:t>
            </w:r>
            <w:r w:rsidR="008E1D2A">
              <w:rPr>
                <w:noProof/>
                <w:webHidden/>
              </w:rPr>
              <w:fldChar w:fldCharType="end"/>
            </w:r>
          </w:hyperlink>
        </w:p>
        <w:p w14:paraId="64C4301A" w14:textId="50D59103" w:rsidR="008E1D2A" w:rsidRDefault="00ED0482">
          <w:pPr>
            <w:pStyle w:val="TOC2"/>
            <w:tabs>
              <w:tab w:val="right" w:leader="dot" w:pos="9622"/>
            </w:tabs>
            <w:rPr>
              <w:rFonts w:eastAsiaTheme="minorEastAsia" w:cstheme="minorBidi"/>
              <w:bCs w:val="0"/>
              <w:noProof/>
              <w:sz w:val="24"/>
              <w:szCs w:val="24"/>
              <w:lang w:val="en-AU" w:eastAsia="en-GB"/>
            </w:rPr>
          </w:pPr>
          <w:hyperlink w:anchor="_Toc50640847" w:history="1">
            <w:r w:rsidR="008E1D2A" w:rsidRPr="005B575D">
              <w:rPr>
                <w:rStyle w:val="Hyperlink"/>
                <w:noProof/>
              </w:rPr>
              <w:t>Apply responsive regulatory practice</w:t>
            </w:r>
            <w:r w:rsidR="008E1D2A">
              <w:rPr>
                <w:noProof/>
                <w:webHidden/>
              </w:rPr>
              <w:tab/>
            </w:r>
            <w:r w:rsidR="008E1D2A">
              <w:rPr>
                <w:noProof/>
                <w:webHidden/>
              </w:rPr>
              <w:fldChar w:fldCharType="begin"/>
            </w:r>
            <w:r w:rsidR="008E1D2A">
              <w:rPr>
                <w:noProof/>
                <w:webHidden/>
              </w:rPr>
              <w:instrText xml:space="preserve"> PAGEREF _Toc50640847 \h </w:instrText>
            </w:r>
            <w:r w:rsidR="008E1D2A">
              <w:rPr>
                <w:noProof/>
                <w:webHidden/>
              </w:rPr>
            </w:r>
            <w:r w:rsidR="008E1D2A">
              <w:rPr>
                <w:noProof/>
                <w:webHidden/>
              </w:rPr>
              <w:fldChar w:fldCharType="separate"/>
            </w:r>
            <w:r w:rsidR="008E1D2A">
              <w:rPr>
                <w:noProof/>
                <w:webHidden/>
              </w:rPr>
              <w:t>15</w:t>
            </w:r>
            <w:r w:rsidR="008E1D2A">
              <w:rPr>
                <w:noProof/>
                <w:webHidden/>
              </w:rPr>
              <w:fldChar w:fldCharType="end"/>
            </w:r>
          </w:hyperlink>
        </w:p>
        <w:p w14:paraId="557645E0" w14:textId="56DC285E" w:rsidR="008E1D2A" w:rsidRDefault="00ED0482">
          <w:pPr>
            <w:pStyle w:val="TOC2"/>
            <w:tabs>
              <w:tab w:val="right" w:leader="dot" w:pos="9622"/>
            </w:tabs>
            <w:rPr>
              <w:rFonts w:eastAsiaTheme="minorEastAsia" w:cstheme="minorBidi"/>
              <w:bCs w:val="0"/>
              <w:noProof/>
              <w:sz w:val="24"/>
              <w:szCs w:val="24"/>
              <w:lang w:val="en-AU" w:eastAsia="en-GB"/>
            </w:rPr>
          </w:pPr>
          <w:hyperlink w:anchor="_Toc50640848" w:history="1">
            <w:r w:rsidR="008E1D2A" w:rsidRPr="005B575D">
              <w:rPr>
                <w:rStyle w:val="Hyperlink"/>
                <w:noProof/>
              </w:rPr>
              <w:t>Enhance the user experience</w:t>
            </w:r>
            <w:r w:rsidR="008E1D2A">
              <w:rPr>
                <w:noProof/>
                <w:webHidden/>
              </w:rPr>
              <w:tab/>
            </w:r>
            <w:r w:rsidR="008E1D2A">
              <w:rPr>
                <w:noProof/>
                <w:webHidden/>
              </w:rPr>
              <w:fldChar w:fldCharType="begin"/>
            </w:r>
            <w:r w:rsidR="008E1D2A">
              <w:rPr>
                <w:noProof/>
                <w:webHidden/>
              </w:rPr>
              <w:instrText xml:space="preserve"> PAGEREF _Toc50640848 \h </w:instrText>
            </w:r>
            <w:r w:rsidR="008E1D2A">
              <w:rPr>
                <w:noProof/>
                <w:webHidden/>
              </w:rPr>
            </w:r>
            <w:r w:rsidR="008E1D2A">
              <w:rPr>
                <w:noProof/>
                <w:webHidden/>
              </w:rPr>
              <w:fldChar w:fldCharType="separate"/>
            </w:r>
            <w:r w:rsidR="008E1D2A">
              <w:rPr>
                <w:noProof/>
                <w:webHidden/>
              </w:rPr>
              <w:t>15</w:t>
            </w:r>
            <w:r w:rsidR="008E1D2A">
              <w:rPr>
                <w:noProof/>
                <w:webHidden/>
              </w:rPr>
              <w:fldChar w:fldCharType="end"/>
            </w:r>
          </w:hyperlink>
        </w:p>
        <w:p w14:paraId="35637E3D" w14:textId="2ED3D5EC" w:rsidR="008E1D2A" w:rsidRDefault="00ED0482">
          <w:pPr>
            <w:pStyle w:val="TOC2"/>
            <w:tabs>
              <w:tab w:val="right" w:leader="dot" w:pos="9622"/>
            </w:tabs>
            <w:rPr>
              <w:rFonts w:eastAsiaTheme="minorEastAsia" w:cstheme="minorBidi"/>
              <w:bCs w:val="0"/>
              <w:noProof/>
              <w:sz w:val="24"/>
              <w:szCs w:val="24"/>
              <w:lang w:val="en-AU" w:eastAsia="en-GB"/>
            </w:rPr>
          </w:pPr>
          <w:hyperlink w:anchor="_Toc50640849" w:history="1">
            <w:r w:rsidR="008E1D2A" w:rsidRPr="005B575D">
              <w:rPr>
                <w:rStyle w:val="Hyperlink"/>
                <w:noProof/>
              </w:rPr>
              <w:t>Build and maintain a sustainable organisation</w:t>
            </w:r>
            <w:r w:rsidR="008E1D2A">
              <w:rPr>
                <w:noProof/>
                <w:webHidden/>
              </w:rPr>
              <w:tab/>
            </w:r>
            <w:r w:rsidR="008E1D2A">
              <w:rPr>
                <w:noProof/>
                <w:webHidden/>
              </w:rPr>
              <w:fldChar w:fldCharType="begin"/>
            </w:r>
            <w:r w:rsidR="008E1D2A">
              <w:rPr>
                <w:noProof/>
                <w:webHidden/>
              </w:rPr>
              <w:instrText xml:space="preserve"> PAGEREF _Toc50640849 \h </w:instrText>
            </w:r>
            <w:r w:rsidR="008E1D2A">
              <w:rPr>
                <w:noProof/>
                <w:webHidden/>
              </w:rPr>
            </w:r>
            <w:r w:rsidR="008E1D2A">
              <w:rPr>
                <w:noProof/>
                <w:webHidden/>
              </w:rPr>
              <w:fldChar w:fldCharType="separate"/>
            </w:r>
            <w:r w:rsidR="008E1D2A">
              <w:rPr>
                <w:noProof/>
                <w:webHidden/>
              </w:rPr>
              <w:t>15</w:t>
            </w:r>
            <w:r w:rsidR="008E1D2A">
              <w:rPr>
                <w:noProof/>
                <w:webHidden/>
              </w:rPr>
              <w:fldChar w:fldCharType="end"/>
            </w:r>
          </w:hyperlink>
        </w:p>
        <w:p w14:paraId="44EEB829" w14:textId="357DADF7"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50" w:history="1">
            <w:r w:rsidR="008E1D2A" w:rsidRPr="005B575D">
              <w:rPr>
                <w:rStyle w:val="Hyperlink"/>
                <w:noProof/>
              </w:rPr>
              <w:t>Our operations</w:t>
            </w:r>
            <w:r w:rsidR="008E1D2A">
              <w:rPr>
                <w:noProof/>
                <w:webHidden/>
              </w:rPr>
              <w:tab/>
            </w:r>
            <w:r w:rsidR="008E1D2A">
              <w:rPr>
                <w:noProof/>
                <w:webHidden/>
              </w:rPr>
              <w:fldChar w:fldCharType="begin"/>
            </w:r>
            <w:r w:rsidR="008E1D2A">
              <w:rPr>
                <w:noProof/>
                <w:webHidden/>
              </w:rPr>
              <w:instrText xml:space="preserve"> PAGEREF _Toc50640850 \h </w:instrText>
            </w:r>
            <w:r w:rsidR="008E1D2A">
              <w:rPr>
                <w:noProof/>
                <w:webHidden/>
              </w:rPr>
            </w:r>
            <w:r w:rsidR="008E1D2A">
              <w:rPr>
                <w:noProof/>
                <w:webHidden/>
              </w:rPr>
              <w:fldChar w:fldCharType="separate"/>
            </w:r>
            <w:r w:rsidR="008E1D2A">
              <w:rPr>
                <w:noProof/>
                <w:webHidden/>
              </w:rPr>
              <w:t>17</w:t>
            </w:r>
            <w:r w:rsidR="008E1D2A">
              <w:rPr>
                <w:noProof/>
                <w:webHidden/>
              </w:rPr>
              <w:fldChar w:fldCharType="end"/>
            </w:r>
          </w:hyperlink>
        </w:p>
        <w:p w14:paraId="151BDA1C" w14:textId="7A65ED45" w:rsidR="008E1D2A" w:rsidRDefault="00ED0482">
          <w:pPr>
            <w:pStyle w:val="TOC2"/>
            <w:tabs>
              <w:tab w:val="right" w:leader="dot" w:pos="9622"/>
            </w:tabs>
            <w:rPr>
              <w:rFonts w:eastAsiaTheme="minorEastAsia" w:cstheme="minorBidi"/>
              <w:bCs w:val="0"/>
              <w:noProof/>
              <w:sz w:val="24"/>
              <w:szCs w:val="24"/>
              <w:lang w:val="en-AU" w:eastAsia="en-GB"/>
            </w:rPr>
          </w:pPr>
          <w:hyperlink w:anchor="_Toc50640851" w:history="1">
            <w:r w:rsidR="008E1D2A" w:rsidRPr="005B575D">
              <w:rPr>
                <w:rStyle w:val="Hyperlink"/>
                <w:noProof/>
                <w:lang w:val="en-US"/>
              </w:rPr>
              <w:t>Inputs</w:t>
            </w:r>
            <w:r w:rsidR="008E1D2A">
              <w:rPr>
                <w:noProof/>
                <w:webHidden/>
              </w:rPr>
              <w:tab/>
            </w:r>
            <w:r w:rsidR="008E1D2A">
              <w:rPr>
                <w:noProof/>
                <w:webHidden/>
              </w:rPr>
              <w:fldChar w:fldCharType="begin"/>
            </w:r>
            <w:r w:rsidR="008E1D2A">
              <w:rPr>
                <w:noProof/>
                <w:webHidden/>
              </w:rPr>
              <w:instrText xml:space="preserve"> PAGEREF _Toc50640851 \h </w:instrText>
            </w:r>
            <w:r w:rsidR="008E1D2A">
              <w:rPr>
                <w:noProof/>
                <w:webHidden/>
              </w:rPr>
            </w:r>
            <w:r w:rsidR="008E1D2A">
              <w:rPr>
                <w:noProof/>
                <w:webHidden/>
              </w:rPr>
              <w:fldChar w:fldCharType="separate"/>
            </w:r>
            <w:r w:rsidR="008E1D2A">
              <w:rPr>
                <w:noProof/>
                <w:webHidden/>
              </w:rPr>
              <w:t>17</w:t>
            </w:r>
            <w:r w:rsidR="008E1D2A">
              <w:rPr>
                <w:noProof/>
                <w:webHidden/>
              </w:rPr>
              <w:fldChar w:fldCharType="end"/>
            </w:r>
          </w:hyperlink>
        </w:p>
        <w:p w14:paraId="688B1626" w14:textId="0D53C3E2" w:rsidR="008E1D2A" w:rsidRDefault="00ED0482">
          <w:pPr>
            <w:pStyle w:val="TOC2"/>
            <w:tabs>
              <w:tab w:val="right" w:leader="dot" w:pos="9622"/>
            </w:tabs>
            <w:rPr>
              <w:rFonts w:eastAsiaTheme="minorEastAsia" w:cstheme="minorBidi"/>
              <w:bCs w:val="0"/>
              <w:noProof/>
              <w:sz w:val="24"/>
              <w:szCs w:val="24"/>
              <w:lang w:val="en-AU" w:eastAsia="en-GB"/>
            </w:rPr>
          </w:pPr>
          <w:hyperlink w:anchor="_Toc50640852" w:history="1">
            <w:r w:rsidR="008E1D2A" w:rsidRPr="005B575D">
              <w:rPr>
                <w:rStyle w:val="Hyperlink"/>
                <w:noProof/>
                <w:lang w:val="en-US"/>
              </w:rPr>
              <w:t>Activities</w:t>
            </w:r>
            <w:r w:rsidR="008E1D2A">
              <w:rPr>
                <w:noProof/>
                <w:webHidden/>
              </w:rPr>
              <w:tab/>
            </w:r>
            <w:r w:rsidR="008E1D2A">
              <w:rPr>
                <w:noProof/>
                <w:webHidden/>
              </w:rPr>
              <w:fldChar w:fldCharType="begin"/>
            </w:r>
            <w:r w:rsidR="008E1D2A">
              <w:rPr>
                <w:noProof/>
                <w:webHidden/>
              </w:rPr>
              <w:instrText xml:space="preserve"> PAGEREF _Toc50640852 \h </w:instrText>
            </w:r>
            <w:r w:rsidR="008E1D2A">
              <w:rPr>
                <w:noProof/>
                <w:webHidden/>
              </w:rPr>
            </w:r>
            <w:r w:rsidR="008E1D2A">
              <w:rPr>
                <w:noProof/>
                <w:webHidden/>
              </w:rPr>
              <w:fldChar w:fldCharType="separate"/>
            </w:r>
            <w:r w:rsidR="008E1D2A">
              <w:rPr>
                <w:noProof/>
                <w:webHidden/>
              </w:rPr>
              <w:t>17</w:t>
            </w:r>
            <w:r w:rsidR="008E1D2A">
              <w:rPr>
                <w:noProof/>
                <w:webHidden/>
              </w:rPr>
              <w:fldChar w:fldCharType="end"/>
            </w:r>
          </w:hyperlink>
        </w:p>
        <w:p w14:paraId="3ADD8F90" w14:textId="482876F2" w:rsidR="008E1D2A" w:rsidRDefault="00ED0482">
          <w:pPr>
            <w:pStyle w:val="TOC2"/>
            <w:tabs>
              <w:tab w:val="right" w:leader="dot" w:pos="9622"/>
            </w:tabs>
            <w:rPr>
              <w:rFonts w:eastAsiaTheme="minorEastAsia" w:cstheme="minorBidi"/>
              <w:bCs w:val="0"/>
              <w:noProof/>
              <w:sz w:val="24"/>
              <w:szCs w:val="24"/>
              <w:lang w:val="en-AU" w:eastAsia="en-GB"/>
            </w:rPr>
          </w:pPr>
          <w:hyperlink w:anchor="_Toc50640853" w:history="1">
            <w:r w:rsidR="008E1D2A" w:rsidRPr="005B575D">
              <w:rPr>
                <w:rStyle w:val="Hyperlink"/>
                <w:noProof/>
                <w:lang w:val="en-US"/>
              </w:rPr>
              <w:t>Outputs</w:t>
            </w:r>
            <w:r w:rsidR="008E1D2A">
              <w:rPr>
                <w:noProof/>
                <w:webHidden/>
              </w:rPr>
              <w:tab/>
            </w:r>
            <w:r w:rsidR="008E1D2A">
              <w:rPr>
                <w:noProof/>
                <w:webHidden/>
              </w:rPr>
              <w:fldChar w:fldCharType="begin"/>
            </w:r>
            <w:r w:rsidR="008E1D2A">
              <w:rPr>
                <w:noProof/>
                <w:webHidden/>
              </w:rPr>
              <w:instrText xml:space="preserve"> PAGEREF _Toc50640853 \h </w:instrText>
            </w:r>
            <w:r w:rsidR="008E1D2A">
              <w:rPr>
                <w:noProof/>
                <w:webHidden/>
              </w:rPr>
            </w:r>
            <w:r w:rsidR="008E1D2A">
              <w:rPr>
                <w:noProof/>
                <w:webHidden/>
              </w:rPr>
              <w:fldChar w:fldCharType="separate"/>
            </w:r>
            <w:r w:rsidR="008E1D2A">
              <w:rPr>
                <w:noProof/>
                <w:webHidden/>
              </w:rPr>
              <w:t>18</w:t>
            </w:r>
            <w:r w:rsidR="008E1D2A">
              <w:rPr>
                <w:noProof/>
                <w:webHidden/>
              </w:rPr>
              <w:fldChar w:fldCharType="end"/>
            </w:r>
          </w:hyperlink>
        </w:p>
        <w:p w14:paraId="60D96665" w14:textId="5BEF456E"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54" w:history="1">
            <w:r w:rsidR="008E1D2A" w:rsidRPr="005B575D">
              <w:rPr>
                <w:rStyle w:val="Hyperlink"/>
                <w:noProof/>
              </w:rPr>
              <w:t>Strategic risks</w:t>
            </w:r>
            <w:r w:rsidR="008E1D2A">
              <w:rPr>
                <w:noProof/>
                <w:webHidden/>
              </w:rPr>
              <w:tab/>
            </w:r>
            <w:r w:rsidR="008E1D2A">
              <w:rPr>
                <w:noProof/>
                <w:webHidden/>
              </w:rPr>
              <w:fldChar w:fldCharType="begin"/>
            </w:r>
            <w:r w:rsidR="008E1D2A">
              <w:rPr>
                <w:noProof/>
                <w:webHidden/>
              </w:rPr>
              <w:instrText xml:space="preserve"> PAGEREF _Toc50640854 \h </w:instrText>
            </w:r>
            <w:r w:rsidR="008E1D2A">
              <w:rPr>
                <w:noProof/>
                <w:webHidden/>
              </w:rPr>
            </w:r>
            <w:r w:rsidR="008E1D2A">
              <w:rPr>
                <w:noProof/>
                <w:webHidden/>
              </w:rPr>
              <w:fldChar w:fldCharType="separate"/>
            </w:r>
            <w:r w:rsidR="008E1D2A">
              <w:rPr>
                <w:noProof/>
                <w:webHidden/>
              </w:rPr>
              <w:t>19</w:t>
            </w:r>
            <w:r w:rsidR="008E1D2A">
              <w:rPr>
                <w:noProof/>
                <w:webHidden/>
              </w:rPr>
              <w:fldChar w:fldCharType="end"/>
            </w:r>
          </w:hyperlink>
        </w:p>
        <w:p w14:paraId="0F3A1DCA" w14:textId="3D0FDFF0" w:rsidR="008E1D2A" w:rsidRDefault="00ED0482">
          <w:pPr>
            <w:pStyle w:val="TOC1"/>
            <w:tabs>
              <w:tab w:val="right" w:leader="dot" w:pos="9622"/>
            </w:tabs>
            <w:rPr>
              <w:rFonts w:eastAsiaTheme="minorEastAsia" w:cstheme="minorBidi"/>
              <w:b w:val="0"/>
              <w:bCs w:val="0"/>
              <w:iCs w:val="0"/>
              <w:noProof/>
              <w:sz w:val="24"/>
              <w:lang w:val="en-AU" w:eastAsia="en-GB"/>
            </w:rPr>
          </w:pPr>
          <w:hyperlink w:anchor="_Toc50640855" w:history="1">
            <w:r w:rsidR="008E1D2A" w:rsidRPr="005B575D">
              <w:rPr>
                <w:rStyle w:val="Hyperlink"/>
                <w:noProof/>
              </w:rPr>
              <w:t>Actions to deliver our strategic priorities</w:t>
            </w:r>
            <w:r w:rsidR="008E1D2A">
              <w:rPr>
                <w:noProof/>
                <w:webHidden/>
              </w:rPr>
              <w:tab/>
            </w:r>
            <w:r w:rsidR="008E1D2A">
              <w:rPr>
                <w:noProof/>
                <w:webHidden/>
              </w:rPr>
              <w:fldChar w:fldCharType="begin"/>
            </w:r>
            <w:r w:rsidR="008E1D2A">
              <w:rPr>
                <w:noProof/>
                <w:webHidden/>
              </w:rPr>
              <w:instrText xml:space="preserve"> PAGEREF _Toc50640855 \h </w:instrText>
            </w:r>
            <w:r w:rsidR="008E1D2A">
              <w:rPr>
                <w:noProof/>
                <w:webHidden/>
              </w:rPr>
            </w:r>
            <w:r w:rsidR="008E1D2A">
              <w:rPr>
                <w:noProof/>
                <w:webHidden/>
              </w:rPr>
              <w:fldChar w:fldCharType="separate"/>
            </w:r>
            <w:r w:rsidR="008E1D2A">
              <w:rPr>
                <w:noProof/>
                <w:webHidden/>
              </w:rPr>
              <w:t>20</w:t>
            </w:r>
            <w:r w:rsidR="008E1D2A">
              <w:rPr>
                <w:noProof/>
                <w:webHidden/>
              </w:rPr>
              <w:fldChar w:fldCharType="end"/>
            </w:r>
          </w:hyperlink>
        </w:p>
        <w:p w14:paraId="5D374B80" w14:textId="439593D7" w:rsidR="00C222E9" w:rsidRDefault="00612327" w:rsidP="008E1D2A">
          <w:pPr>
            <w:sectPr w:rsidR="00C222E9" w:rsidSect="00C222E9">
              <w:headerReference w:type="default" r:id="rId14"/>
              <w:footerReference w:type="default" r:id="rId15"/>
              <w:pgSz w:w="11900" w:h="16840"/>
              <w:pgMar w:top="1134" w:right="1134" w:bottom="1701" w:left="1134" w:header="709" w:footer="709" w:gutter="0"/>
              <w:cols w:space="708"/>
              <w:docGrid w:linePitch="360"/>
            </w:sectPr>
          </w:pPr>
          <w:r>
            <w:rPr>
              <w:rFonts w:cs="Arial (Body)"/>
              <w:b/>
              <w:bCs/>
            </w:rPr>
            <w:fldChar w:fldCharType="end"/>
          </w:r>
        </w:p>
      </w:sdtContent>
    </w:sdt>
    <w:p w14:paraId="2A98DA85" w14:textId="2816B2DF" w:rsidR="00743278" w:rsidRDefault="00280D5B" w:rsidP="00280D5B">
      <w:pPr>
        <w:pStyle w:val="Heading1"/>
        <w:rPr>
          <w:lang w:val="en-AU"/>
        </w:rPr>
      </w:pPr>
      <w:bookmarkStart w:id="0" w:name="_Toc50640831"/>
      <w:r>
        <w:rPr>
          <w:lang w:val="en-AU"/>
        </w:rPr>
        <w:lastRenderedPageBreak/>
        <w:t>Message from the CEO and Chair</w:t>
      </w:r>
      <w:bookmarkEnd w:id="0"/>
    </w:p>
    <w:p w14:paraId="31AE8374" w14:textId="77777777" w:rsidR="00612327" w:rsidRDefault="00612327" w:rsidP="00302AC6">
      <w:pPr>
        <w:pStyle w:val="Intro"/>
      </w:pPr>
      <w:r w:rsidRPr="00612327">
        <w:rPr>
          <w:noProof/>
        </w:rPr>
        <w:drawing>
          <wp:inline distT="0" distB="0" distL="0" distR="0" wp14:anchorId="31F9AF27" wp14:editId="2451D6CD">
            <wp:extent cx="3532516" cy="2476983"/>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6"/>
                    <a:stretch>
                      <a:fillRect/>
                    </a:stretch>
                  </pic:blipFill>
                  <pic:spPr>
                    <a:xfrm>
                      <a:off x="0" y="0"/>
                      <a:ext cx="3537207" cy="2480273"/>
                    </a:xfrm>
                    <a:prstGeom prst="rect">
                      <a:avLst/>
                    </a:prstGeom>
                  </pic:spPr>
                </pic:pic>
              </a:graphicData>
            </a:graphic>
          </wp:inline>
        </w:drawing>
      </w:r>
    </w:p>
    <w:p w14:paraId="50055EE9" w14:textId="59732710" w:rsidR="00302AC6" w:rsidRPr="00302AC6" w:rsidRDefault="00302AC6" w:rsidP="00302AC6">
      <w:pPr>
        <w:pStyle w:val="Intro"/>
      </w:pPr>
      <w:r w:rsidRPr="00302AC6">
        <w:t>At the Victorian Commission for Gambling and Liquor Regulation (VCGLR) we remain committed to our vision that Victorians and visitors enjoy safe and responsible gambling and liquor environments.</w:t>
      </w:r>
    </w:p>
    <w:p w14:paraId="7916F50C" w14:textId="77777777" w:rsidR="00302AC6" w:rsidRPr="00302AC6" w:rsidRDefault="00302AC6" w:rsidP="00302AC6">
      <w:pPr>
        <w:rPr>
          <w:lang w:val="en-AU"/>
        </w:rPr>
      </w:pPr>
      <w:r w:rsidRPr="00302AC6">
        <w:rPr>
          <w:lang w:val="en-AU"/>
        </w:rPr>
        <w:t xml:space="preserve">As we embark on our 2020–23 Corporate Plan, we have reflected on the significant and ongoing effects of the bushfires in regional Victoria and the unprecedented health and safety and economic challenges faced by Victorians arising from the coronavirus (COVID-19) pandemic. </w:t>
      </w:r>
    </w:p>
    <w:p w14:paraId="00C3B67D" w14:textId="77777777" w:rsidR="00302AC6" w:rsidRPr="00302AC6" w:rsidRDefault="00302AC6" w:rsidP="00302AC6">
      <w:pPr>
        <w:rPr>
          <w:lang w:val="en-AU"/>
        </w:rPr>
      </w:pPr>
      <w:r w:rsidRPr="00302AC6">
        <w:rPr>
          <w:lang w:val="en-AU"/>
        </w:rPr>
        <w:t xml:space="preserve">Enacting our vision becomes increasingly critical and will require an agile approach to the way we regulate the gambling and liquor industries in order to meet community expectations and support industry on its recovery journey. </w:t>
      </w:r>
    </w:p>
    <w:p w14:paraId="6F3C86E4" w14:textId="77777777" w:rsidR="00302AC6" w:rsidRPr="00302AC6" w:rsidRDefault="00302AC6" w:rsidP="00302AC6">
      <w:pPr>
        <w:rPr>
          <w:lang w:val="en-AU"/>
        </w:rPr>
      </w:pPr>
      <w:r w:rsidRPr="00302AC6">
        <w:rPr>
          <w:lang w:val="en-AU"/>
        </w:rPr>
        <w:t>Our response to government priorities and industry needs during these challenging times has highlighted our commitment as public servants and our ability to quickly adjust our operations. We will harness the learning and experience of this time to further enhance our regulatory practice.</w:t>
      </w:r>
    </w:p>
    <w:p w14:paraId="000FBC7D" w14:textId="77777777" w:rsidR="00302AC6" w:rsidRPr="00302AC6" w:rsidRDefault="00302AC6" w:rsidP="00302AC6">
      <w:pPr>
        <w:rPr>
          <w:lang w:val="en-AU"/>
        </w:rPr>
      </w:pPr>
      <w:r w:rsidRPr="00302AC6">
        <w:rPr>
          <w:lang w:val="en-AU"/>
        </w:rPr>
        <w:t xml:space="preserve">We recognise that different sectors will face significant and unique challenges as they adapt and adjust business models to deal with the social and economic challenges and as they identify new opportunities. We will focus on efficiency in our processes and strong engagement that is responsive to the needs of industry and the community. </w:t>
      </w:r>
    </w:p>
    <w:p w14:paraId="0D67EFE7" w14:textId="42DD37DB" w:rsidR="00302AC6" w:rsidRPr="00302AC6" w:rsidRDefault="00302AC6" w:rsidP="00302AC6">
      <w:pPr>
        <w:rPr>
          <w:lang w:val="en-AU"/>
        </w:rPr>
      </w:pPr>
      <w:r w:rsidRPr="00302AC6">
        <w:rPr>
          <w:lang w:val="en-AU"/>
        </w:rPr>
        <w:t>The Corporate Plan is a roadmap to guide our use of resources and regulatory expertise and to focus on areas of organisational improvement. As important are our dedicated employees and expert practitioners who serve and support our stakeholders with strong integrity and high levels of professionalism. They are vital to the success of the strategies laid out in this plan.</w:t>
      </w:r>
    </w:p>
    <w:p w14:paraId="676B1C73" w14:textId="77777777" w:rsidR="00302AC6" w:rsidRPr="00302AC6" w:rsidRDefault="00302AC6" w:rsidP="00302AC6">
      <w:pPr>
        <w:rPr>
          <w:lang w:val="en-AU"/>
        </w:rPr>
      </w:pPr>
      <w:r w:rsidRPr="00302AC6">
        <w:rPr>
          <w:lang w:val="en-AU"/>
        </w:rPr>
        <w:t>Our focus is on outcomes aimed at:</w:t>
      </w:r>
    </w:p>
    <w:p w14:paraId="76A65EE4" w14:textId="77777777" w:rsidR="00302AC6" w:rsidRPr="00302AC6" w:rsidRDefault="00302AC6" w:rsidP="00302AC6">
      <w:pPr>
        <w:pStyle w:val="Bullet1"/>
      </w:pPr>
      <w:r w:rsidRPr="00302AC6">
        <w:t xml:space="preserve">building high levels of confidence in the regulation of the gambling and liquor industries </w:t>
      </w:r>
    </w:p>
    <w:p w14:paraId="67934112" w14:textId="77777777" w:rsidR="00302AC6" w:rsidRPr="00302AC6" w:rsidRDefault="00302AC6" w:rsidP="00302AC6">
      <w:pPr>
        <w:pStyle w:val="Bullet1"/>
      </w:pPr>
      <w:r w:rsidRPr="00302AC6">
        <w:t>influencing compliance levels across</w:t>
      </w:r>
    </w:p>
    <w:p w14:paraId="17342D47" w14:textId="77777777" w:rsidR="00302AC6" w:rsidRPr="00302AC6" w:rsidRDefault="00302AC6" w:rsidP="00302AC6">
      <w:pPr>
        <w:pStyle w:val="Bullet1"/>
      </w:pPr>
      <w:r w:rsidRPr="00302AC6">
        <w:t>the state</w:t>
      </w:r>
    </w:p>
    <w:p w14:paraId="132F5613" w14:textId="77777777" w:rsidR="00302AC6" w:rsidRPr="00302AC6" w:rsidRDefault="00302AC6" w:rsidP="00302AC6">
      <w:pPr>
        <w:pStyle w:val="Bullet1"/>
      </w:pPr>
      <w:r w:rsidRPr="00302AC6">
        <w:t xml:space="preserve">delivering high quality services and </w:t>
      </w:r>
    </w:p>
    <w:p w14:paraId="1A05D8C4" w14:textId="77777777" w:rsidR="00302AC6" w:rsidRPr="00302AC6" w:rsidRDefault="00302AC6" w:rsidP="00302AC6">
      <w:pPr>
        <w:rPr>
          <w:lang w:val="en-AU"/>
        </w:rPr>
      </w:pPr>
      <w:r w:rsidRPr="00302AC6">
        <w:rPr>
          <w:lang w:val="en-AU"/>
        </w:rPr>
        <w:t>operating with long-term operational sustainability.</w:t>
      </w:r>
    </w:p>
    <w:p w14:paraId="6D59A414" w14:textId="77777777" w:rsidR="00302AC6" w:rsidRPr="00302AC6" w:rsidRDefault="00302AC6" w:rsidP="00302AC6">
      <w:pPr>
        <w:rPr>
          <w:lang w:val="en-AU"/>
        </w:rPr>
      </w:pPr>
      <w:r w:rsidRPr="00302AC6">
        <w:rPr>
          <w:lang w:val="en-AU"/>
        </w:rPr>
        <w:t xml:space="preserve">To achieve these outcomes, we must be innovative in the way we regulate the gambling and liquor industries. We commit to greater transparency, increased collaboration with industry and our co-regulatory partners. </w:t>
      </w:r>
    </w:p>
    <w:p w14:paraId="22F87B0B" w14:textId="07277ECF" w:rsidR="00302AC6" w:rsidRDefault="00302AC6" w:rsidP="00302AC6">
      <w:pPr>
        <w:rPr>
          <w:lang w:val="en-AU"/>
        </w:rPr>
      </w:pPr>
      <w:r w:rsidRPr="00302AC6">
        <w:rPr>
          <w:lang w:val="en-AU"/>
        </w:rPr>
        <w:t>Our annual business plans will further detail and guide our work in the delivery of four Strategic Priorities designed to deliver these outcomes. These priorities reflect our balanced regulatory approach to enable industries to provide safe and enjoyable experiences.</w:t>
      </w:r>
    </w:p>
    <w:p w14:paraId="11387BFB" w14:textId="2FF5A35E" w:rsidR="00612327" w:rsidRDefault="00612327" w:rsidP="00302AC6">
      <w:pPr>
        <w:rPr>
          <w:lang w:val="en-AU"/>
        </w:rPr>
      </w:pPr>
      <w:r w:rsidRPr="00612327">
        <w:rPr>
          <w:noProof/>
          <w:lang w:val="en-AU"/>
        </w:rPr>
        <w:lastRenderedPageBreak/>
        <w:drawing>
          <wp:inline distT="0" distB="0" distL="0" distR="0" wp14:anchorId="7D891680" wp14:editId="6AAD4088">
            <wp:extent cx="3932101" cy="1817226"/>
            <wp:effectExtent l="0" t="0" r="5080" b="0"/>
            <wp:docPr id="15" name="Picture 15" descr="1. Be an influential regulator&#13;&#10;2. Apply responsive regulatory practice&#13;&#10;3. Enhance user experience&#13;&#10;4. Build and maintain a sustainable organisation&#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 Be an influential regulator&#13;&#10;2. Apply responsive regulatory practice&#13;&#10;3. Enhance user experience&#13;&#10;4. Build and maintain a sustainable organisation&#13;&#10;"/>
                    <pic:cNvPicPr/>
                  </pic:nvPicPr>
                  <pic:blipFill>
                    <a:blip r:embed="rId17"/>
                    <a:stretch>
                      <a:fillRect/>
                    </a:stretch>
                  </pic:blipFill>
                  <pic:spPr>
                    <a:xfrm>
                      <a:off x="0" y="0"/>
                      <a:ext cx="3938300" cy="1820091"/>
                    </a:xfrm>
                    <a:prstGeom prst="rect">
                      <a:avLst/>
                    </a:prstGeom>
                  </pic:spPr>
                </pic:pic>
              </a:graphicData>
            </a:graphic>
          </wp:inline>
        </w:drawing>
      </w:r>
    </w:p>
    <w:p w14:paraId="31951E81" w14:textId="77777777" w:rsidR="00302AC6" w:rsidRPr="00302AC6" w:rsidRDefault="00302AC6" w:rsidP="00302AC6">
      <w:pPr>
        <w:rPr>
          <w:lang w:val="en-AU"/>
        </w:rPr>
      </w:pPr>
      <w:r w:rsidRPr="00302AC6">
        <w:rPr>
          <w:lang w:val="en-AU"/>
        </w:rPr>
        <w:t>We continue to remain focussed on integrity, harm minimisation, and the promotion of economic development in the industries we regulate through a regulatory approach that is risk-based and targeted.</w:t>
      </w:r>
    </w:p>
    <w:p w14:paraId="40BFF59B" w14:textId="77777777" w:rsidR="00302AC6" w:rsidRPr="00302AC6" w:rsidRDefault="00302AC6" w:rsidP="00302AC6">
      <w:pPr>
        <w:rPr>
          <w:lang w:val="en-AU"/>
        </w:rPr>
      </w:pPr>
      <w:r w:rsidRPr="00302AC6">
        <w:rPr>
          <w:lang w:val="en-AU"/>
        </w:rPr>
        <w:t>Our long-term direction is to continue to be a regulator that is responsive to industry innovation and can adapt our regulatory practice to respond to emerging business models and products. We will focus on minimising the social harm impacts of these products and services using data and evidence to guide our decision-making.</w:t>
      </w:r>
    </w:p>
    <w:p w14:paraId="09D8E6FD" w14:textId="3A47CDBA" w:rsidR="00280D5B" w:rsidRDefault="00302AC6" w:rsidP="00302AC6">
      <w:pPr>
        <w:rPr>
          <w:lang w:val="en-AU"/>
        </w:rPr>
      </w:pPr>
      <w:r w:rsidRPr="00302AC6">
        <w:rPr>
          <w:lang w:val="en-AU"/>
        </w:rPr>
        <w:t>We will focus on engagement with industry to influence a shared purpose to minimise harm while not unduly hindering innovation. We expect industry to operate with high standards of integrity and to be responsive to consumer protection while balancing commercial interests.</w:t>
      </w:r>
    </w:p>
    <w:p w14:paraId="5E7BFA85" w14:textId="77777777" w:rsidR="00612327" w:rsidRDefault="00612327" w:rsidP="00302AC6">
      <w:pPr>
        <w:rPr>
          <w:b/>
          <w:bCs/>
        </w:rPr>
      </w:pPr>
      <w:r w:rsidRPr="00612327">
        <w:rPr>
          <w:b/>
          <w:bCs/>
          <w:noProof/>
        </w:rPr>
        <w:drawing>
          <wp:inline distT="0" distB="0" distL="0" distR="0" wp14:anchorId="4E8F5C1E" wp14:editId="7B49A37F">
            <wp:extent cx="2247900" cy="5334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8"/>
                    <a:stretch>
                      <a:fillRect/>
                    </a:stretch>
                  </pic:blipFill>
                  <pic:spPr>
                    <a:xfrm>
                      <a:off x="0" y="0"/>
                      <a:ext cx="2247900" cy="533400"/>
                    </a:xfrm>
                    <a:prstGeom prst="rect">
                      <a:avLst/>
                    </a:prstGeom>
                  </pic:spPr>
                </pic:pic>
              </a:graphicData>
            </a:graphic>
          </wp:inline>
        </w:drawing>
      </w:r>
    </w:p>
    <w:p w14:paraId="29B55B1E" w14:textId="2ED5E341" w:rsidR="00302AC6" w:rsidRPr="00302AC6" w:rsidRDefault="00302AC6" w:rsidP="00302AC6">
      <w:pPr>
        <w:rPr>
          <w:b/>
          <w:bCs/>
        </w:rPr>
      </w:pPr>
      <w:r w:rsidRPr="00302AC6">
        <w:rPr>
          <w:b/>
          <w:bCs/>
        </w:rPr>
        <w:t>Catherine Myers</w:t>
      </w:r>
    </w:p>
    <w:p w14:paraId="6FAC1915" w14:textId="0A2565D7" w:rsidR="00302AC6" w:rsidRDefault="00302AC6" w:rsidP="00302AC6">
      <w:r>
        <w:t>Chief Executive Officer</w:t>
      </w:r>
    </w:p>
    <w:p w14:paraId="68A41F17" w14:textId="77777777" w:rsidR="00612327" w:rsidRDefault="00612327" w:rsidP="00302AC6">
      <w:pPr>
        <w:rPr>
          <w:b/>
          <w:bCs/>
        </w:rPr>
      </w:pPr>
      <w:r w:rsidRPr="00612327">
        <w:rPr>
          <w:b/>
          <w:bCs/>
          <w:noProof/>
        </w:rPr>
        <w:drawing>
          <wp:inline distT="0" distB="0" distL="0" distR="0" wp14:anchorId="4811D507" wp14:editId="53123FCA">
            <wp:extent cx="1841500" cy="8128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9"/>
                    <a:stretch>
                      <a:fillRect/>
                    </a:stretch>
                  </pic:blipFill>
                  <pic:spPr>
                    <a:xfrm>
                      <a:off x="0" y="0"/>
                      <a:ext cx="1841500" cy="812800"/>
                    </a:xfrm>
                    <a:prstGeom prst="rect">
                      <a:avLst/>
                    </a:prstGeom>
                  </pic:spPr>
                </pic:pic>
              </a:graphicData>
            </a:graphic>
          </wp:inline>
        </w:drawing>
      </w:r>
    </w:p>
    <w:p w14:paraId="75305141" w14:textId="280F28FC" w:rsidR="00302AC6" w:rsidRPr="00302AC6" w:rsidRDefault="00302AC6" w:rsidP="00302AC6">
      <w:pPr>
        <w:rPr>
          <w:b/>
          <w:bCs/>
        </w:rPr>
      </w:pPr>
      <w:r w:rsidRPr="00302AC6">
        <w:rPr>
          <w:b/>
          <w:bCs/>
        </w:rPr>
        <w:t>Ross Kennedy PSM</w:t>
      </w:r>
    </w:p>
    <w:p w14:paraId="57C0904B" w14:textId="050FB8EF" w:rsidR="00302AC6" w:rsidRDefault="00302AC6" w:rsidP="00302AC6">
      <w:r>
        <w:t>Chairperson</w:t>
      </w:r>
    </w:p>
    <w:p w14:paraId="74326927" w14:textId="77777777" w:rsidR="00302AC6" w:rsidRDefault="00302AC6">
      <w:pPr>
        <w:spacing w:after="0"/>
        <w:rPr>
          <w:rFonts w:asciiTheme="majorHAnsi" w:eastAsiaTheme="majorEastAsia" w:hAnsiTheme="majorHAnsi" w:cs="Times New Roman (Headings CS)"/>
          <w:b/>
          <w:color w:val="2459A9" w:themeColor="text1"/>
          <w:sz w:val="48"/>
          <w:szCs w:val="32"/>
        </w:rPr>
      </w:pPr>
      <w:r>
        <w:br w:type="page"/>
      </w:r>
    </w:p>
    <w:p w14:paraId="473668F6" w14:textId="56C59001" w:rsidR="00302AC6" w:rsidRDefault="00302AC6" w:rsidP="00302AC6">
      <w:pPr>
        <w:pStyle w:val="Heading1"/>
      </w:pPr>
      <w:bookmarkStart w:id="1" w:name="_Toc50640832"/>
      <w:r>
        <w:lastRenderedPageBreak/>
        <w:t>Overview of the VCGLR</w:t>
      </w:r>
      <w:bookmarkEnd w:id="1"/>
    </w:p>
    <w:p w14:paraId="074C566F" w14:textId="77777777" w:rsidR="00302AC6" w:rsidRDefault="00302AC6" w:rsidP="00302AC6">
      <w:pPr>
        <w:rPr>
          <w:rStyle w:val="Actstyle"/>
        </w:rPr>
      </w:pPr>
      <w:r>
        <w:rPr>
          <w:rStyle w:val="Actstyle"/>
        </w:rPr>
        <w:t xml:space="preserve">The VCGLR is an independent public sector entity established under the </w:t>
      </w:r>
      <w:r>
        <w:rPr>
          <w:rStyle w:val="Actstyle"/>
          <w:i/>
          <w:iCs/>
        </w:rPr>
        <w:t>Victorian Commission for Gambling and Liquor Regulation Act 2011</w:t>
      </w:r>
      <w:r>
        <w:rPr>
          <w:rStyle w:val="Actstyle"/>
        </w:rPr>
        <w:t>.</w:t>
      </w:r>
    </w:p>
    <w:p w14:paraId="169C8C29" w14:textId="77777777" w:rsidR="00302AC6" w:rsidRDefault="00302AC6" w:rsidP="00302AC6">
      <w:pPr>
        <w:rPr>
          <w:rStyle w:val="Actstyle"/>
        </w:rPr>
      </w:pPr>
      <w:r>
        <w:rPr>
          <w:rStyle w:val="Actstyle"/>
        </w:rPr>
        <w:t>The Commission’s role comprises:</w:t>
      </w:r>
    </w:p>
    <w:p w14:paraId="0EB9BE57" w14:textId="77777777" w:rsidR="00302AC6" w:rsidRDefault="00302AC6" w:rsidP="00302AC6">
      <w:pPr>
        <w:pStyle w:val="Bullet1"/>
        <w:rPr>
          <w:rStyle w:val="Actstyle"/>
        </w:rPr>
      </w:pPr>
      <w:r>
        <w:rPr>
          <w:rStyle w:val="Actstyle"/>
        </w:rPr>
        <w:t>statutory decision making under gambling and liquor legislation</w:t>
      </w:r>
    </w:p>
    <w:p w14:paraId="06C7C0FD" w14:textId="77777777" w:rsidR="00302AC6" w:rsidRDefault="00302AC6" w:rsidP="00302AC6">
      <w:pPr>
        <w:pStyle w:val="Bullet1"/>
        <w:rPr>
          <w:rStyle w:val="Actstyle"/>
        </w:rPr>
      </w:pPr>
      <w:r>
        <w:rPr>
          <w:rStyle w:val="Actstyle"/>
        </w:rPr>
        <w:t>performing the functions of a Board</w:t>
      </w:r>
      <w:r>
        <w:rPr>
          <w:rStyle w:val="Actstyle"/>
        </w:rPr>
        <w:br/>
        <w:t>of a public sector entity.</w:t>
      </w:r>
    </w:p>
    <w:p w14:paraId="384351EC" w14:textId="77777777" w:rsidR="00302AC6" w:rsidRDefault="00302AC6" w:rsidP="00302AC6">
      <w:pPr>
        <w:rPr>
          <w:rStyle w:val="Actstyle"/>
        </w:rPr>
      </w:pPr>
      <w:r>
        <w:rPr>
          <w:rStyle w:val="Actstyle"/>
        </w:rPr>
        <w:t>In carrying out our responsibilities and exercising our powers, at all times we recognise our overriding responsibility to:</w:t>
      </w:r>
    </w:p>
    <w:p w14:paraId="09AAA46D" w14:textId="77777777" w:rsidR="00302AC6" w:rsidRDefault="00302AC6" w:rsidP="00302AC6">
      <w:pPr>
        <w:pStyle w:val="Bullet1"/>
        <w:rPr>
          <w:rStyle w:val="Actstyle"/>
        </w:rPr>
      </w:pPr>
      <w:r>
        <w:rPr>
          <w:rStyle w:val="Actstyle"/>
        </w:rPr>
        <w:t xml:space="preserve">act honestly, reasonably, fairly, diligently and in accordance with the law </w:t>
      </w:r>
    </w:p>
    <w:p w14:paraId="7272AD55" w14:textId="77777777" w:rsidR="00302AC6" w:rsidRDefault="00302AC6" w:rsidP="00302AC6">
      <w:pPr>
        <w:pStyle w:val="Bullet1"/>
        <w:rPr>
          <w:rStyle w:val="Actstyle"/>
        </w:rPr>
      </w:pPr>
      <w:r>
        <w:rPr>
          <w:rStyle w:val="Actstyle"/>
        </w:rPr>
        <w:t xml:space="preserve">serve the interests of the Victorian community in pursuing VCGLR objectives </w:t>
      </w:r>
    </w:p>
    <w:p w14:paraId="34707783" w14:textId="77777777" w:rsidR="00302AC6" w:rsidRDefault="00302AC6" w:rsidP="00302AC6">
      <w:pPr>
        <w:pStyle w:val="Bullet1"/>
        <w:rPr>
          <w:rStyle w:val="Actstyle"/>
        </w:rPr>
      </w:pPr>
      <w:r>
        <w:rPr>
          <w:rStyle w:val="Actstyle"/>
        </w:rPr>
        <w:t>use resources economically, efficiently, effectively and with due propriety.</w:t>
      </w:r>
    </w:p>
    <w:p w14:paraId="59A5AA24" w14:textId="77777777" w:rsidR="00302AC6" w:rsidRDefault="00302AC6" w:rsidP="00302AC6">
      <w:pPr>
        <w:rPr>
          <w:rStyle w:val="Actstyle"/>
        </w:rPr>
      </w:pPr>
      <w:r>
        <w:rPr>
          <w:rStyle w:val="Actstyle"/>
        </w:rPr>
        <w:t>As the independent statutory authority which regulates Victoria’s gambling and liquor industries, we are responsible for gambling and liquor licensing, and for ensuring compliance with legislation and regulations. This includes informing and educating industry participants and the Victorian public about regulatory practices and requirements.</w:t>
      </w:r>
    </w:p>
    <w:p w14:paraId="437D00D8" w14:textId="77777777" w:rsidR="00302AC6" w:rsidRDefault="00302AC6" w:rsidP="00302AC6">
      <w:pPr>
        <w:rPr>
          <w:rStyle w:val="Actstyle"/>
        </w:rPr>
      </w:pPr>
      <w:r>
        <w:rPr>
          <w:rStyle w:val="Actstyle"/>
        </w:rPr>
        <w:t>We regulate businesses focusing on the people, premises, products and promotions involved in the supply of gambling and liquor. We operate in a complex environment requiring a responsive regulatory approach. Our purpose reflects the objectives of Victoria’s gambling and liquor laws to focus regulatory efforts on ensuring industry integrity while minimising harm.</w:t>
      </w:r>
    </w:p>
    <w:p w14:paraId="2D96292C" w14:textId="77777777" w:rsidR="00302AC6" w:rsidRDefault="00302AC6" w:rsidP="00302AC6">
      <w:pPr>
        <w:rPr>
          <w:rStyle w:val="Actstyle"/>
        </w:rPr>
      </w:pPr>
      <w:r>
        <w:rPr>
          <w:rStyle w:val="Actstyle"/>
        </w:rPr>
        <w:t xml:space="preserve">To assist in fulfilling its governance functions, the Commission operates with three committees: </w:t>
      </w:r>
    </w:p>
    <w:p w14:paraId="74B65A7E" w14:textId="77777777" w:rsidR="00302AC6" w:rsidRDefault="00302AC6" w:rsidP="00302AC6">
      <w:pPr>
        <w:pStyle w:val="Bullet1"/>
        <w:rPr>
          <w:rStyle w:val="Actstyle"/>
        </w:rPr>
      </w:pPr>
      <w:r>
        <w:rPr>
          <w:rStyle w:val="Actstyle"/>
        </w:rPr>
        <w:t>Audit and risk management</w:t>
      </w:r>
    </w:p>
    <w:p w14:paraId="12BA87FE" w14:textId="77777777" w:rsidR="00302AC6" w:rsidRDefault="00302AC6" w:rsidP="00302AC6">
      <w:pPr>
        <w:pStyle w:val="Bullet1"/>
        <w:rPr>
          <w:rStyle w:val="Actstyle"/>
        </w:rPr>
      </w:pPr>
      <w:r>
        <w:rPr>
          <w:rStyle w:val="Actstyle"/>
        </w:rPr>
        <w:t>People and culture</w:t>
      </w:r>
    </w:p>
    <w:p w14:paraId="18FFC443" w14:textId="77777777" w:rsidR="00302AC6" w:rsidRDefault="00302AC6" w:rsidP="00302AC6">
      <w:pPr>
        <w:pStyle w:val="Bullet1"/>
        <w:rPr>
          <w:rStyle w:val="Actstyle"/>
        </w:rPr>
      </w:pPr>
      <w:r>
        <w:rPr>
          <w:rStyle w:val="Actstyle"/>
        </w:rPr>
        <w:t>Legislation, regulation and policy.</w:t>
      </w:r>
    </w:p>
    <w:p w14:paraId="2718FF88" w14:textId="4CF8E17F" w:rsidR="00302AC6" w:rsidRDefault="00302AC6" w:rsidP="00302AC6">
      <w:pPr>
        <w:rPr>
          <w:rStyle w:val="Actstyle"/>
        </w:rPr>
      </w:pPr>
      <w:r>
        <w:rPr>
          <w:rStyle w:val="Actstyle"/>
        </w:rPr>
        <w:t>The Chief Executive Officer leads and manages the organis</w:t>
      </w:r>
      <w:r>
        <w:rPr>
          <w:rStyle w:val="Actstyle"/>
        </w:rPr>
        <w:softHyphen/>
        <w:t>ation and reports to the Commission on our performance.</w:t>
      </w:r>
    </w:p>
    <w:p w14:paraId="00BD8A9A" w14:textId="309F0E25" w:rsidR="00302AC6" w:rsidRDefault="00302AC6" w:rsidP="00302AC6">
      <w:pPr>
        <w:pStyle w:val="Heading1"/>
        <w:rPr>
          <w:rStyle w:val="Actstyle"/>
        </w:rPr>
      </w:pPr>
      <w:bookmarkStart w:id="2" w:name="_Toc50640833"/>
      <w:r>
        <w:rPr>
          <w:rStyle w:val="Actstyle"/>
        </w:rPr>
        <w:lastRenderedPageBreak/>
        <w:t>Our organisational structure</w:t>
      </w:r>
      <w:bookmarkEnd w:id="2"/>
    </w:p>
    <w:p w14:paraId="60EE7FED" w14:textId="1692B42C" w:rsidR="00471BA5" w:rsidRPr="00471BA5" w:rsidRDefault="00471BA5" w:rsidP="00471BA5">
      <w:r w:rsidRPr="00471BA5">
        <w:rPr>
          <w:noProof/>
        </w:rPr>
        <w:drawing>
          <wp:inline distT="0" distB="0" distL="0" distR="0" wp14:anchorId="1516CC4F" wp14:editId="5EC2C236">
            <wp:extent cx="6116320" cy="4859655"/>
            <wp:effectExtent l="0" t="0" r="5080" b="0"/>
            <wp:docPr id="16" name="Picture 16" descr="Minister for Consumer Affairs, Gaming and Liquor Regulation – Hon. Melissa Horne&#13;&#10;&#13;&#10;Chairperson – Ross Kennedy PSM&#13;&#10;Deputy Chairperson – Helen Versey&#13;&#10;Deputy Chairperson – Deidre O’Donnell PSM&#13;&#10;Commissioner – Danielle Huntersmith&#13;&#10;Commissioner – Andrew Scott&#13;&#10;Sessional Commissioner – Des Powell AM&#13;&#10;&#13;&#10;Chief Executive Officer – Catherine Myers&#13;&#10;Office of the CEO&#13;&#10;&#13;&#10;Director Compliance – Adam Ockwell&#13;&#10;Director Licensing – Alex Fitzpatrick&#13;&#10;Executive Director, Regulatory Policy and Legal Services and General Counsel – Scott May&#13;&#10;Head of ICT – Mark Powell&#13;&#10;Director Corporate Services and Chief Financial Officer – Michael Eve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inister for Consumer Affairs, Gaming and Liquor Regulation – Hon. Melissa Horne&#13;&#10;&#13;&#10;Chairperson – Ross Kennedy PSM&#13;&#10;Deputy Chairperson – Helen Versey&#13;&#10;Deputy Chairperson – Deidre O’Donnell PSM&#13;&#10;Commissioner – Danielle Huntersmith&#13;&#10;Commissioner – Andrew Scott&#13;&#10;Sessional Commissioner – Des Powell AM&#13;&#10;&#13;&#10;Chief Executive Officer – Catherine Myers&#13;&#10;Office of the CEO&#13;&#10;&#13;&#10;Director Compliance – Adam Ockwell&#13;&#10;Director Licensing – Alex Fitzpatrick&#13;&#10;Executive Director, Regulatory Policy and Legal Services and General Counsel – Scott May&#13;&#10;Head of ICT – Mark Powell&#13;&#10;Director Corporate Services and Chief Financial Officer – Michael Everett"/>
                    <pic:cNvPicPr/>
                  </pic:nvPicPr>
                  <pic:blipFill>
                    <a:blip r:embed="rId20"/>
                    <a:stretch>
                      <a:fillRect/>
                    </a:stretch>
                  </pic:blipFill>
                  <pic:spPr>
                    <a:xfrm>
                      <a:off x="0" y="0"/>
                      <a:ext cx="6116320" cy="4859655"/>
                    </a:xfrm>
                    <a:prstGeom prst="rect">
                      <a:avLst/>
                    </a:prstGeom>
                  </pic:spPr>
                </pic:pic>
              </a:graphicData>
            </a:graphic>
          </wp:inline>
        </w:drawing>
      </w:r>
    </w:p>
    <w:p w14:paraId="0713B9D5" w14:textId="1ACCD25C" w:rsidR="00302AC6" w:rsidRDefault="00302AC6" w:rsidP="00302AC6">
      <w:pPr>
        <w:rPr>
          <w:rStyle w:val="Actstyle"/>
        </w:rPr>
      </w:pPr>
    </w:p>
    <w:p w14:paraId="7DE8DF0C" w14:textId="77777777" w:rsidR="00471BA5" w:rsidRDefault="00471BA5">
      <w:pPr>
        <w:spacing w:after="0"/>
        <w:rPr>
          <w:rFonts w:asciiTheme="majorHAnsi" w:eastAsiaTheme="majorEastAsia" w:hAnsiTheme="majorHAnsi" w:cs="Times New Roman (Headings CS)"/>
          <w:b/>
          <w:color w:val="2459A9" w:themeColor="text1"/>
          <w:sz w:val="48"/>
          <w:szCs w:val="32"/>
        </w:rPr>
      </w:pPr>
      <w:r>
        <w:br w:type="page"/>
      </w:r>
    </w:p>
    <w:p w14:paraId="013B32D4" w14:textId="70A17A97" w:rsidR="00302AC6" w:rsidRDefault="00302AC6" w:rsidP="00302AC6">
      <w:pPr>
        <w:pStyle w:val="Heading1"/>
      </w:pPr>
      <w:bookmarkStart w:id="3" w:name="_Toc50640834"/>
      <w:r>
        <w:lastRenderedPageBreak/>
        <w:t>Overview of industry</w:t>
      </w:r>
      <w:bookmarkEnd w:id="3"/>
    </w:p>
    <w:p w14:paraId="2716CDCC" w14:textId="77777777" w:rsidR="00302AC6" w:rsidRPr="00302AC6" w:rsidRDefault="00302AC6" w:rsidP="00302AC6">
      <w:pPr>
        <w:pStyle w:val="Intro"/>
        <w:rPr>
          <w:rStyle w:val="Actstyle"/>
        </w:rPr>
      </w:pPr>
      <w:r w:rsidRPr="00302AC6">
        <w:rPr>
          <w:rStyle w:val="Actstyle"/>
        </w:rPr>
        <w:t xml:space="preserve">Victoria’s gambling and liquor industries are vibrant and diverse and contribute to the social and economic fabric of the state and the hospitality and tourism sectors. </w:t>
      </w:r>
    </w:p>
    <w:p w14:paraId="30E1C5EE" w14:textId="77777777" w:rsidR="00302AC6" w:rsidRPr="00302AC6" w:rsidRDefault="00302AC6" w:rsidP="00302AC6">
      <w:pPr>
        <w:rPr>
          <w:rStyle w:val="Actstyle"/>
        </w:rPr>
      </w:pPr>
      <w:r w:rsidRPr="00302AC6">
        <w:rPr>
          <w:rStyle w:val="Actstyle"/>
        </w:rPr>
        <w:t>They encompass a wide variety of business models including pubs, clubs, restaurants and cafes, food trucks, wineries, karaoke bars, festivals and other major events, pop-up bars and footpath dining as well as licensed community and sporting clubs and the Melbourne Casino.</w:t>
      </w:r>
    </w:p>
    <w:p w14:paraId="6073057D" w14:textId="77777777" w:rsidR="00302AC6" w:rsidRPr="00302AC6" w:rsidRDefault="00302AC6" w:rsidP="00302AC6">
      <w:pPr>
        <w:rPr>
          <w:rStyle w:val="Actstyle"/>
        </w:rPr>
      </w:pPr>
      <w:r w:rsidRPr="00302AC6">
        <w:rPr>
          <w:rStyle w:val="Actstyle"/>
        </w:rPr>
        <w:t xml:space="preserve">The Australian hospitality sector has been growing steadily over the past five years with the growth attributed to factors such as an expanding ‘foodie’ culture, the popularity among many individuals to owning a hospitality business, population growth and an increase in consumer demand. </w:t>
      </w:r>
    </w:p>
    <w:p w14:paraId="0853D868" w14:textId="5697BA82" w:rsidR="00302AC6" w:rsidRPr="00302AC6" w:rsidRDefault="00302AC6" w:rsidP="00302AC6">
      <w:pPr>
        <w:rPr>
          <w:rStyle w:val="Actstyle"/>
        </w:rPr>
      </w:pPr>
      <w:r w:rsidRPr="00302AC6">
        <w:rPr>
          <w:rStyle w:val="Actstyle"/>
        </w:rPr>
        <w:t>We have regulatory oversight of the people, premises, products and promotions involved in supplying gambling and liquor in Victoria including over 23,000 liquor licences - a figure that continues to steadily increase and is largely driven by new restaurant and cafe licences or renewable limited licences. There are also more than 630 Keno outlets and almost 730 wagering and betting agents, more than 790 lottery agents and over 500 individual gaming venues. Victoria also has a casino and we manage the Victorian cap of up to 30,000 electronic gaming machines across the state.</w:t>
      </w:r>
    </w:p>
    <w:p w14:paraId="13A1B353" w14:textId="77777777" w:rsidR="00302AC6" w:rsidRPr="00302AC6" w:rsidRDefault="00302AC6" w:rsidP="00302AC6">
      <w:pPr>
        <w:rPr>
          <w:rStyle w:val="Actstyle"/>
        </w:rPr>
      </w:pPr>
      <w:r w:rsidRPr="00302AC6">
        <w:rPr>
          <w:rStyle w:val="Actstyle"/>
        </w:rPr>
        <w:t xml:space="preserve">Victoria is also globally renowned for hosting some of the best major sporting, cultural and food events in the world, and it has the largest casino complex in the southern hemisphere, which deliver substantial social and economic benefits. </w:t>
      </w:r>
    </w:p>
    <w:p w14:paraId="3D692AB4" w14:textId="77777777" w:rsidR="00302AC6" w:rsidRPr="00302AC6" w:rsidRDefault="00302AC6" w:rsidP="00302AC6">
      <w:pPr>
        <w:rPr>
          <w:rStyle w:val="Actstyle"/>
        </w:rPr>
      </w:pPr>
      <w:r w:rsidRPr="00302AC6">
        <w:rPr>
          <w:rStyle w:val="Actstyle"/>
        </w:rPr>
        <w:t>We are responsible for the administration of $1.8 billion in gambling and liquor licence fees and taxation revenue each year. The gambling and liquor industries employ thousands of people in Victoria and are important parts of our tourism industry.</w:t>
      </w:r>
    </w:p>
    <w:p w14:paraId="06981409" w14:textId="77777777" w:rsidR="00302AC6" w:rsidRPr="00302AC6" w:rsidRDefault="00302AC6" w:rsidP="00302AC6">
      <w:pPr>
        <w:rPr>
          <w:rStyle w:val="Actstyle"/>
        </w:rPr>
      </w:pPr>
      <w:r w:rsidRPr="00302AC6">
        <w:rPr>
          <w:rStyle w:val="Actstyle"/>
        </w:rPr>
        <w:t xml:space="preserve">In Victoria each year, over 129,000 participants complete a Responsible Service of Alcohol course for employment within our liquor and hospitality industry, with almost 90,000 undertaking the course for the first time, supporting the industry’s growth. </w:t>
      </w:r>
    </w:p>
    <w:p w14:paraId="13454C2D" w14:textId="77777777" w:rsidR="00302AC6" w:rsidRPr="00302AC6" w:rsidRDefault="00302AC6" w:rsidP="00302AC6">
      <w:pPr>
        <w:rPr>
          <w:rStyle w:val="Actstyle"/>
        </w:rPr>
      </w:pPr>
      <w:r w:rsidRPr="00302AC6">
        <w:rPr>
          <w:rStyle w:val="Actstyle"/>
        </w:rPr>
        <w:t xml:space="preserve">During the 2018–19 year, we determined over 16,200 liquor licence-related applications with two-thirds of these for temporary, limited or major event licences. Almost 3,200 new liquor licence applicants joined the Victorian industry, undertaking new entrant training, and over 31,000 gaming employees are actively licensed, including almost 3,000 new employees to the industry. </w:t>
      </w:r>
    </w:p>
    <w:p w14:paraId="3EAECCD1" w14:textId="43F22BE2" w:rsidR="00302AC6" w:rsidRDefault="00302AC6" w:rsidP="00302AC6">
      <w:pPr>
        <w:rPr>
          <w:rStyle w:val="Actstyle"/>
        </w:rPr>
      </w:pPr>
      <w:r w:rsidRPr="00302AC6">
        <w:rPr>
          <w:rStyle w:val="Actstyle"/>
        </w:rPr>
        <w:t>We balance the expectations of these growing industries with their legal obligations to ensure the integrity of the gambling and liquor industries and to reduce harms in Victoria’s vibrant gambling and liquor environments.</w:t>
      </w:r>
    </w:p>
    <w:p w14:paraId="3C8A5212" w14:textId="3D97FC6D" w:rsidR="00302AC6" w:rsidRDefault="00302AC6" w:rsidP="00302AC6">
      <w:pPr>
        <w:pStyle w:val="Heading2"/>
        <w:rPr>
          <w:rStyle w:val="Actstyle"/>
        </w:rPr>
      </w:pPr>
      <w:bookmarkStart w:id="4" w:name="_Toc50640835"/>
      <w:r>
        <w:rPr>
          <w:rStyle w:val="Actstyle"/>
        </w:rPr>
        <w:t>Key statistics</w:t>
      </w:r>
      <w:bookmarkEnd w:id="4"/>
    </w:p>
    <w:p w14:paraId="0ABBC46F" w14:textId="0726A574" w:rsidR="00302AC6" w:rsidRDefault="00302AC6" w:rsidP="00302AC6">
      <w:pPr>
        <w:pStyle w:val="Bullet1"/>
      </w:pPr>
      <w:r>
        <w:t>129,000+ Responsible Service of Alcohol training participants</w:t>
      </w:r>
    </w:p>
    <w:p w14:paraId="3D1CCA19" w14:textId="2FF39D58" w:rsidR="00302AC6" w:rsidRDefault="00302AC6" w:rsidP="00302AC6">
      <w:pPr>
        <w:pStyle w:val="Bullet1"/>
      </w:pPr>
      <w:r>
        <w:t>500 gaming licences</w:t>
      </w:r>
    </w:p>
    <w:p w14:paraId="0C2443C4" w14:textId="2F3095C1" w:rsidR="00302AC6" w:rsidRDefault="00302AC6" w:rsidP="00302AC6">
      <w:pPr>
        <w:pStyle w:val="Bullet1"/>
      </w:pPr>
      <w:r>
        <w:t>23,000 liquor licences</w:t>
      </w:r>
    </w:p>
    <w:p w14:paraId="75EDEC1F" w14:textId="4F2C5DBC" w:rsidR="00302AC6" w:rsidRDefault="00302AC6" w:rsidP="00302AC6">
      <w:pPr>
        <w:pStyle w:val="Bullet1"/>
      </w:pPr>
      <w:r>
        <w:t>730 wagering and betting agents</w:t>
      </w:r>
    </w:p>
    <w:p w14:paraId="7414E623" w14:textId="3121634F" w:rsidR="00302AC6" w:rsidRDefault="00302AC6" w:rsidP="00302AC6">
      <w:pPr>
        <w:pStyle w:val="Bullet1"/>
      </w:pPr>
      <w:r>
        <w:t>Up to 30,000 Electronic Gaming Machines</w:t>
      </w:r>
    </w:p>
    <w:p w14:paraId="68EBABF5" w14:textId="4EF01F8D" w:rsidR="00302AC6" w:rsidRDefault="00302AC6" w:rsidP="00302AC6">
      <w:pPr>
        <w:pStyle w:val="Bullet1"/>
      </w:pPr>
      <w:r>
        <w:t>630+ Keno outlets</w:t>
      </w:r>
    </w:p>
    <w:p w14:paraId="6CF732E5" w14:textId="01845FC7" w:rsidR="00302AC6" w:rsidRDefault="00302AC6" w:rsidP="00302AC6">
      <w:pPr>
        <w:pStyle w:val="Bullet1"/>
      </w:pPr>
      <w:r>
        <w:t>Over 130,000 people employed</w:t>
      </w:r>
    </w:p>
    <w:p w14:paraId="4E5B04F2" w14:textId="41302AAF" w:rsidR="00302AC6" w:rsidRPr="00302AC6" w:rsidRDefault="00302AC6" w:rsidP="00302AC6">
      <w:pPr>
        <w:pStyle w:val="Bullet1"/>
      </w:pPr>
      <w:r>
        <w:t>162,000 liquor licence-related applications</w:t>
      </w:r>
    </w:p>
    <w:p w14:paraId="0C5C94CF" w14:textId="054060CE" w:rsidR="00302AC6" w:rsidRPr="00302AC6" w:rsidRDefault="00302AC6" w:rsidP="00302AC6">
      <w:pPr>
        <w:pStyle w:val="Heading1"/>
      </w:pPr>
      <w:bookmarkStart w:id="5" w:name="_Toc50640836"/>
      <w:r w:rsidRPr="00302AC6">
        <w:t>Our vision</w:t>
      </w:r>
      <w:bookmarkEnd w:id="5"/>
    </w:p>
    <w:p w14:paraId="554DA859" w14:textId="77777777" w:rsidR="00302AC6" w:rsidRPr="00302AC6" w:rsidRDefault="00302AC6" w:rsidP="00302AC6">
      <w:r w:rsidRPr="00302AC6">
        <w:t>Victorians and visitors enjoy safe and responsible gambling and liquor environments.</w:t>
      </w:r>
    </w:p>
    <w:p w14:paraId="0F9F0592" w14:textId="77777777" w:rsidR="00302AC6" w:rsidRPr="00302AC6" w:rsidRDefault="00302AC6" w:rsidP="00302AC6">
      <w:pPr>
        <w:pStyle w:val="Heading1"/>
      </w:pPr>
      <w:bookmarkStart w:id="6" w:name="_Toc50640837"/>
      <w:r w:rsidRPr="00302AC6">
        <w:lastRenderedPageBreak/>
        <w:t>Our purpose</w:t>
      </w:r>
      <w:bookmarkEnd w:id="6"/>
    </w:p>
    <w:p w14:paraId="054FF214" w14:textId="6706A1C2" w:rsidR="00302AC6" w:rsidRPr="00302AC6" w:rsidRDefault="00302AC6" w:rsidP="00302AC6">
      <w:r w:rsidRPr="00302AC6">
        <w:t>The VCGLR regulates Victoria’s gambling and liquor industries to ensure their integrity and to minimise harm.</w:t>
      </w:r>
    </w:p>
    <w:p w14:paraId="04788E09" w14:textId="688C08A0" w:rsidR="00302AC6" w:rsidRDefault="00302AC6" w:rsidP="00302AC6">
      <w:pPr>
        <w:pStyle w:val="Heading1"/>
      </w:pPr>
      <w:bookmarkStart w:id="7" w:name="_Toc50640838"/>
      <w:r w:rsidRPr="00302AC6">
        <w:t>Our values</w:t>
      </w:r>
      <w:bookmarkEnd w:id="7"/>
    </w:p>
    <w:p w14:paraId="5F33CFBE" w14:textId="55D85D64" w:rsidR="003E7BDF" w:rsidRPr="003E7BDF" w:rsidRDefault="003E7BDF" w:rsidP="003E7BDF">
      <w:r w:rsidRPr="003E7BDF">
        <w:rPr>
          <w:noProof/>
        </w:rPr>
        <w:drawing>
          <wp:inline distT="0" distB="0" distL="0" distR="0" wp14:anchorId="6883A1CA" wp14:editId="7414AE0F">
            <wp:extent cx="6116320" cy="1612265"/>
            <wp:effectExtent l="0" t="0" r="5080" b="635"/>
            <wp:docPr id="17" name="Picture 17" descr="•&#9;Work together&#13;&#10;•&#9;Respect other people&#13;&#10;•&#9;Act with integrity&#13;&#10;•&#9;Make it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9;Work together&#13;&#10;•&#9;Respect other people&#13;&#10;•&#9;Act with integrity&#13;&#10;•&#9;Make it happen"/>
                    <pic:cNvPicPr/>
                  </pic:nvPicPr>
                  <pic:blipFill>
                    <a:blip r:embed="rId21"/>
                    <a:stretch>
                      <a:fillRect/>
                    </a:stretch>
                  </pic:blipFill>
                  <pic:spPr>
                    <a:xfrm>
                      <a:off x="0" y="0"/>
                      <a:ext cx="6116320" cy="1612265"/>
                    </a:xfrm>
                    <a:prstGeom prst="rect">
                      <a:avLst/>
                    </a:prstGeom>
                  </pic:spPr>
                </pic:pic>
              </a:graphicData>
            </a:graphic>
          </wp:inline>
        </w:drawing>
      </w:r>
    </w:p>
    <w:p w14:paraId="348ADB39" w14:textId="77777777" w:rsidR="00D078EF" w:rsidRDefault="00D078EF">
      <w:pPr>
        <w:spacing w:after="0"/>
        <w:rPr>
          <w:rFonts w:asciiTheme="majorHAnsi" w:eastAsiaTheme="majorEastAsia" w:hAnsiTheme="majorHAnsi" w:cs="Times New Roman (Headings CS)"/>
          <w:b/>
          <w:color w:val="2459A9" w:themeColor="text1"/>
          <w:sz w:val="48"/>
          <w:szCs w:val="32"/>
        </w:rPr>
      </w:pPr>
      <w:r>
        <w:br w:type="page"/>
      </w:r>
    </w:p>
    <w:p w14:paraId="2DBB4180" w14:textId="2FB4576E" w:rsidR="00302AC6" w:rsidRPr="00302AC6" w:rsidRDefault="00302AC6" w:rsidP="00302AC6">
      <w:pPr>
        <w:pStyle w:val="Heading1"/>
      </w:pPr>
      <w:bookmarkStart w:id="8" w:name="_Toc50640839"/>
      <w:r w:rsidRPr="00302AC6">
        <w:lastRenderedPageBreak/>
        <w:t>The plan</w:t>
      </w:r>
      <w:bookmarkEnd w:id="8"/>
    </w:p>
    <w:p w14:paraId="295331C5" w14:textId="77777777" w:rsidR="00302AC6" w:rsidRPr="00302AC6" w:rsidRDefault="00302AC6" w:rsidP="00302AC6">
      <w:r w:rsidRPr="00302AC6">
        <w:t>The VCGLR Corporate Plan is built on a cohesive model that links inputs and</w:t>
      </w:r>
      <w:r w:rsidRPr="00302AC6">
        <w:br/>
        <w:t xml:space="preserve">enabling capabilities. </w:t>
      </w:r>
    </w:p>
    <w:p w14:paraId="77A90C42" w14:textId="77777777" w:rsidR="00302AC6" w:rsidRPr="00302AC6" w:rsidRDefault="00302AC6" w:rsidP="00302AC6">
      <w:r w:rsidRPr="00302AC6">
        <w:t>The Plan aims to deliver four key outcomes designed to build high levels of confidence, influence industry compliance, provide high quality services to stakeholders and operate in an environment that provides long term organisational sustainability.</w:t>
      </w:r>
    </w:p>
    <w:p w14:paraId="2B483AEF" w14:textId="77777777" w:rsidR="00302AC6" w:rsidRPr="00302AC6" w:rsidRDefault="00302AC6" w:rsidP="00302AC6">
      <w:r w:rsidRPr="00302AC6">
        <w:t>We have agreed on four strategic priorities designed to achieve these outcomes, each of which are supported by actions covering the three-year life of the Corporate Plan.</w:t>
      </w:r>
    </w:p>
    <w:p w14:paraId="46F4D979" w14:textId="4E08DF64" w:rsidR="00302AC6" w:rsidRDefault="00302AC6" w:rsidP="00302AC6">
      <w:r w:rsidRPr="00302AC6">
        <w:t>These priorities are:</w:t>
      </w:r>
    </w:p>
    <w:p w14:paraId="456ED652" w14:textId="6C26F83D" w:rsidR="00D078EF" w:rsidRPr="00302AC6" w:rsidRDefault="00D078EF" w:rsidP="00302AC6">
      <w:r w:rsidRPr="00D078EF">
        <w:rPr>
          <w:noProof/>
        </w:rPr>
        <w:drawing>
          <wp:inline distT="0" distB="0" distL="0" distR="0" wp14:anchorId="2E0E2583" wp14:editId="16CDF57F">
            <wp:extent cx="5393803" cy="2416908"/>
            <wp:effectExtent l="0" t="0" r="3810" b="0"/>
            <wp:docPr id="18" name="Picture 18" descr="•&#9;Be an influential regulator&#13;&#10;•&#9;Apply responsive regulatory practice&#13;&#10;•&#9;Enhance the user experience&#13;&#10;•&#9;Build and maintain a sustainable organisation&#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9;Be an influential regulator&#13;&#10;•&#9;Apply responsive regulatory practice&#13;&#10;•&#9;Enhance the user experience&#13;&#10;•&#9;Build and maintain a sustainable organisation&#13;&#10;"/>
                    <pic:cNvPicPr/>
                  </pic:nvPicPr>
                  <pic:blipFill>
                    <a:blip r:embed="rId22"/>
                    <a:stretch>
                      <a:fillRect/>
                    </a:stretch>
                  </pic:blipFill>
                  <pic:spPr>
                    <a:xfrm>
                      <a:off x="0" y="0"/>
                      <a:ext cx="5402072" cy="2420613"/>
                    </a:xfrm>
                    <a:prstGeom prst="rect">
                      <a:avLst/>
                    </a:prstGeom>
                  </pic:spPr>
                </pic:pic>
              </a:graphicData>
            </a:graphic>
          </wp:inline>
        </w:drawing>
      </w:r>
    </w:p>
    <w:p w14:paraId="730468EA" w14:textId="1E44DA1E" w:rsidR="00302AC6" w:rsidRDefault="00302AC6" w:rsidP="00302AC6">
      <w:r w:rsidRPr="00302AC6">
        <w:t>These strategic priorities are designed to provide a consistent focus and direction to ensure we deliver the desired outcomes to achieve our purpose and vision.</w:t>
      </w:r>
    </w:p>
    <w:p w14:paraId="72A25A85" w14:textId="77777777" w:rsidR="0060244C" w:rsidRDefault="0060244C">
      <w:pPr>
        <w:spacing w:after="0"/>
        <w:rPr>
          <w:rFonts w:asciiTheme="majorHAnsi" w:eastAsiaTheme="majorEastAsia" w:hAnsiTheme="majorHAnsi" w:cs="Times New Roman (Headings CS)"/>
          <w:b/>
          <w:color w:val="2459A9" w:themeColor="text1"/>
          <w:sz w:val="48"/>
          <w:szCs w:val="32"/>
        </w:rPr>
      </w:pPr>
      <w:r>
        <w:br w:type="page"/>
      </w:r>
    </w:p>
    <w:p w14:paraId="5287A595" w14:textId="7B0E676A" w:rsidR="00302AC6" w:rsidRPr="00302AC6" w:rsidRDefault="00302AC6" w:rsidP="00302AC6">
      <w:pPr>
        <w:pStyle w:val="Heading1"/>
      </w:pPr>
      <w:bookmarkStart w:id="9" w:name="_Toc50640840"/>
      <w:r w:rsidRPr="00302AC6">
        <w:lastRenderedPageBreak/>
        <w:t>Our outcomes</w:t>
      </w:r>
      <w:bookmarkEnd w:id="9"/>
    </w:p>
    <w:p w14:paraId="408C8DD3" w14:textId="1AA54CFF" w:rsidR="00302AC6" w:rsidRPr="00302AC6" w:rsidRDefault="00302AC6" w:rsidP="00302AC6">
      <w:r w:rsidRPr="00302AC6">
        <w:t>Since establishment in 2012, we have matured our regulatory oversight of the gambling and liquor industries by streamlining processes, improving regulatory practice through the integration of risk assessments, and using harm data and intelligence to inform our decision making. This has been enabled by focussing on the culture and capability of our people. We have invested significantly in building a culture of integrity and high performance, with a commitment to refining our regulatory practice and being a learning organisation. This has been delivered through staff engagement, training and development and by building stronger relationships with our regulatory partners. The deployment of improved technology and analytical tools has supported our operational maturity.</w:t>
      </w:r>
    </w:p>
    <w:p w14:paraId="6B29BC6E" w14:textId="77777777" w:rsidR="00302AC6" w:rsidRPr="00302AC6" w:rsidRDefault="00302AC6" w:rsidP="00302AC6">
      <w:r w:rsidRPr="00302AC6">
        <w:t xml:space="preserve">It is known that gambling and liquor products can cause harm. The Commission expects that, in particular, industry embeds a culture that assesses and understands the risks and harms their products can have and these risks are considered as it designs new products or offerings. The Commission expects industry to implement and promote management practices that empower staff with the skills and tools they need to manage and reduce risks and harm to consumers. </w:t>
      </w:r>
    </w:p>
    <w:p w14:paraId="52706306" w14:textId="38E821E4" w:rsidR="00302AC6" w:rsidRDefault="00302AC6" w:rsidP="00302AC6">
      <w:r w:rsidRPr="00302AC6">
        <w:t>Against this backdrop, we have identified four long-term outcomes that we will strive to achieve over the next three years.</w:t>
      </w:r>
    </w:p>
    <w:p w14:paraId="3C68FCB9" w14:textId="646C9762" w:rsidR="00302AC6" w:rsidRPr="00302AC6" w:rsidRDefault="00302AC6" w:rsidP="00302AC6">
      <w:pPr>
        <w:pStyle w:val="Heading2"/>
      </w:pPr>
      <w:bookmarkStart w:id="10" w:name="_Toc50640841"/>
      <w:r w:rsidRPr="00302AC6">
        <w:t>High levels of confidence in VCGLR</w:t>
      </w:r>
      <w:bookmarkEnd w:id="10"/>
    </w:p>
    <w:p w14:paraId="196239E7" w14:textId="4D6A244A" w:rsidR="00302AC6" w:rsidRDefault="00302AC6" w:rsidP="00302AC6">
      <w:r w:rsidRPr="00302AC6">
        <w:t>Government, community and industry view the gambling and liquor industries as being effectively regulated.</w:t>
      </w:r>
    </w:p>
    <w:tbl>
      <w:tblPr>
        <w:tblStyle w:val="TableGrid"/>
        <w:tblW w:w="0" w:type="auto"/>
        <w:tblLook w:val="0420" w:firstRow="1" w:lastRow="0" w:firstColumn="0" w:lastColumn="0" w:noHBand="0" w:noVBand="1"/>
      </w:tblPr>
      <w:tblGrid>
        <w:gridCol w:w="4811"/>
        <w:gridCol w:w="4811"/>
      </w:tblGrid>
      <w:tr w:rsidR="00302AC6" w14:paraId="34B9DD12" w14:textId="77777777" w:rsidTr="00302AC6">
        <w:trPr>
          <w:cnfStyle w:val="100000000000" w:firstRow="1" w:lastRow="0" w:firstColumn="0" w:lastColumn="0" w:oddVBand="0" w:evenVBand="0" w:oddHBand="0" w:evenHBand="0" w:firstRowFirstColumn="0" w:firstRowLastColumn="0" w:lastRowFirstColumn="0" w:lastRowLastColumn="0"/>
        </w:trPr>
        <w:tc>
          <w:tcPr>
            <w:tcW w:w="4811" w:type="dxa"/>
          </w:tcPr>
          <w:p w14:paraId="7865B18E" w14:textId="2887C9DB" w:rsidR="00302AC6" w:rsidRDefault="00302AC6" w:rsidP="00302AC6">
            <w:pPr>
              <w:pStyle w:val="Tableheaderwhite"/>
            </w:pPr>
            <w:r>
              <w:t>How will we know if we are achieving this?</w:t>
            </w:r>
          </w:p>
        </w:tc>
        <w:tc>
          <w:tcPr>
            <w:tcW w:w="4811" w:type="dxa"/>
          </w:tcPr>
          <w:p w14:paraId="70598114" w14:textId="2353F78A" w:rsidR="00302AC6" w:rsidRDefault="00302AC6" w:rsidP="00302AC6">
            <w:pPr>
              <w:pStyle w:val="Tableheaderwhite"/>
            </w:pPr>
            <w:r>
              <w:t>Outcome indicators</w:t>
            </w:r>
          </w:p>
        </w:tc>
      </w:tr>
      <w:tr w:rsidR="00302AC6" w14:paraId="719D3574" w14:textId="77777777" w:rsidTr="00302AC6">
        <w:tc>
          <w:tcPr>
            <w:tcW w:w="4811" w:type="dxa"/>
          </w:tcPr>
          <w:p w14:paraId="5962B84E" w14:textId="74B2A446" w:rsidR="00302AC6" w:rsidRDefault="00302AC6" w:rsidP="00302AC6">
            <w:pPr>
              <w:pStyle w:val="Tablebody"/>
            </w:pPr>
            <w:r>
              <w:t>High levels of stakeholder satisfaction</w:t>
            </w:r>
          </w:p>
        </w:tc>
        <w:tc>
          <w:tcPr>
            <w:tcW w:w="4811" w:type="dxa"/>
          </w:tcPr>
          <w:p w14:paraId="3B456E17" w14:textId="74F8D55A" w:rsidR="00302AC6" w:rsidRDefault="00302AC6" w:rsidP="00302AC6">
            <w:pPr>
              <w:pStyle w:val="Tablebody"/>
            </w:pPr>
            <w:r>
              <w:t>Regular, meaningful engagement and consultation</w:t>
            </w:r>
          </w:p>
        </w:tc>
      </w:tr>
      <w:tr w:rsidR="00302AC6" w14:paraId="207F541C" w14:textId="77777777" w:rsidTr="00302AC6">
        <w:tc>
          <w:tcPr>
            <w:tcW w:w="4811" w:type="dxa"/>
          </w:tcPr>
          <w:p w14:paraId="37189FD2" w14:textId="2431CDC8" w:rsidR="00302AC6" w:rsidRDefault="00302AC6" w:rsidP="00302AC6">
            <w:pPr>
              <w:pStyle w:val="Tablebody"/>
            </w:pPr>
            <w:r>
              <w:rPr>
                <w:rStyle w:val="Actstyle"/>
              </w:rPr>
              <w:t>Trusted source of advice to Government and stakeholders</w:t>
            </w:r>
          </w:p>
        </w:tc>
        <w:tc>
          <w:tcPr>
            <w:tcW w:w="4811" w:type="dxa"/>
          </w:tcPr>
          <w:p w14:paraId="46B81EB8" w14:textId="489F4703" w:rsidR="00302AC6" w:rsidRDefault="00302AC6" w:rsidP="00302AC6">
            <w:pPr>
              <w:pStyle w:val="Tablebody"/>
            </w:pPr>
            <w:r>
              <w:rPr>
                <w:rStyle w:val="Actstyle"/>
              </w:rPr>
              <w:t>Evidence of stakeholder satisfaction</w:t>
            </w:r>
          </w:p>
        </w:tc>
      </w:tr>
      <w:tr w:rsidR="00302AC6" w14:paraId="0A2984E0" w14:textId="77777777" w:rsidTr="00302AC6">
        <w:tc>
          <w:tcPr>
            <w:tcW w:w="4811" w:type="dxa"/>
          </w:tcPr>
          <w:p w14:paraId="4FCA72CA" w14:textId="5FE24239" w:rsidR="00302AC6" w:rsidRDefault="00302AC6" w:rsidP="00302AC6">
            <w:pPr>
              <w:pStyle w:val="Tablebody"/>
            </w:pPr>
            <w:r>
              <w:rPr>
                <w:rStyle w:val="Actstyle"/>
              </w:rPr>
              <w:t>Regulatory practice is recognised as modern, effective and best practice</w:t>
            </w:r>
          </w:p>
        </w:tc>
        <w:tc>
          <w:tcPr>
            <w:tcW w:w="4811" w:type="dxa"/>
          </w:tcPr>
          <w:p w14:paraId="24A28733" w14:textId="06137DA5" w:rsidR="00302AC6" w:rsidRDefault="00302AC6" w:rsidP="00302AC6">
            <w:pPr>
              <w:pStyle w:val="Tablebody"/>
            </w:pPr>
            <w:r>
              <w:rPr>
                <w:rStyle w:val="Actstyle"/>
              </w:rPr>
              <w:t>Regulatory interventions achieve desired objectives</w:t>
            </w:r>
          </w:p>
        </w:tc>
      </w:tr>
    </w:tbl>
    <w:p w14:paraId="7320A125" w14:textId="77777777" w:rsidR="00302AC6" w:rsidRPr="00302AC6" w:rsidRDefault="00302AC6" w:rsidP="00302AC6">
      <w:pPr>
        <w:pStyle w:val="Heading3"/>
      </w:pPr>
      <w:r w:rsidRPr="00302AC6">
        <w:t xml:space="preserve">Regular, meaningful engagement and consultation </w:t>
      </w:r>
    </w:p>
    <w:p w14:paraId="45D2EF2B" w14:textId="77777777" w:rsidR="00302AC6" w:rsidRPr="00302AC6" w:rsidRDefault="00302AC6" w:rsidP="00302AC6">
      <w:r w:rsidRPr="00302AC6">
        <w:t xml:space="preserve">We will engage in accessible, broad and meaningful consultation relating to significant regulatory practice changes proposed by the Commission or major policy changes at the request of Government. </w:t>
      </w:r>
    </w:p>
    <w:p w14:paraId="482E1FA9" w14:textId="77777777" w:rsidR="00302AC6" w:rsidRPr="00302AC6" w:rsidRDefault="00302AC6" w:rsidP="00302AC6">
      <w:r w:rsidRPr="00302AC6">
        <w:t>We will seek feedback to measure the quality and effectiveness of its consultation processes and transparently report on outcomes.</w:t>
      </w:r>
    </w:p>
    <w:p w14:paraId="2C816479" w14:textId="77777777" w:rsidR="00302AC6" w:rsidRPr="00302AC6" w:rsidRDefault="00302AC6" w:rsidP="00302AC6">
      <w:pPr>
        <w:pStyle w:val="Heading3"/>
      </w:pPr>
      <w:r w:rsidRPr="00302AC6">
        <w:t>Evidence of stakeholder satisfaction</w:t>
      </w:r>
    </w:p>
    <w:p w14:paraId="7AF833C5" w14:textId="77777777" w:rsidR="00302AC6" w:rsidRPr="00302AC6" w:rsidRDefault="00302AC6" w:rsidP="00302AC6">
      <w:r w:rsidRPr="00302AC6">
        <w:t>Each year we conduct a number of stakeholder surveys canvassing feedback from community, industry and stakeholders. Results and subsequent actions to respond to these surveys will be published in the annual report or on our website.</w:t>
      </w:r>
    </w:p>
    <w:p w14:paraId="1EE70727" w14:textId="77777777" w:rsidR="00302AC6" w:rsidRPr="00302AC6" w:rsidRDefault="00302AC6" w:rsidP="00302AC6">
      <w:pPr>
        <w:pStyle w:val="Heading3"/>
      </w:pPr>
      <w:r w:rsidRPr="00302AC6">
        <w:t xml:space="preserve">Regulatory interventions achieve desired objectives </w:t>
      </w:r>
    </w:p>
    <w:p w14:paraId="200A1CF1" w14:textId="77777777" w:rsidR="00302AC6" w:rsidRPr="00302AC6" w:rsidRDefault="00302AC6" w:rsidP="00302AC6">
      <w:r w:rsidRPr="00302AC6">
        <w:t>We have three key regulatory interventions. We:</w:t>
      </w:r>
    </w:p>
    <w:p w14:paraId="3F04FEC0" w14:textId="77777777" w:rsidR="00302AC6" w:rsidRPr="00302AC6" w:rsidRDefault="00302AC6" w:rsidP="00302AC6">
      <w:pPr>
        <w:pStyle w:val="Bullet1"/>
      </w:pPr>
      <w:r w:rsidRPr="00302AC6">
        <w:t xml:space="preserve">license </w:t>
      </w:r>
    </w:p>
    <w:p w14:paraId="3DADE43E" w14:textId="77777777" w:rsidR="00302AC6" w:rsidRPr="00302AC6" w:rsidRDefault="00302AC6" w:rsidP="00302AC6">
      <w:pPr>
        <w:pStyle w:val="Bullet1"/>
      </w:pPr>
      <w:r w:rsidRPr="00302AC6">
        <w:t>inform and educate</w:t>
      </w:r>
    </w:p>
    <w:p w14:paraId="5319E5DB" w14:textId="77777777" w:rsidR="00302AC6" w:rsidRPr="00302AC6" w:rsidRDefault="00302AC6" w:rsidP="00302AC6">
      <w:pPr>
        <w:pStyle w:val="Bullet1"/>
      </w:pPr>
      <w:r w:rsidRPr="00302AC6">
        <w:t>monitor and take enforcement action.</w:t>
      </w:r>
    </w:p>
    <w:p w14:paraId="29C9F7CA" w14:textId="59779AD3" w:rsidR="00302AC6" w:rsidRPr="00302AC6" w:rsidRDefault="00302AC6" w:rsidP="00302AC6">
      <w:r w:rsidRPr="00302AC6">
        <w:t>We will continue to publicly report on the impacts of our regulatory actions.</w:t>
      </w:r>
    </w:p>
    <w:p w14:paraId="3B12329B" w14:textId="77777777" w:rsidR="00302AC6" w:rsidRPr="00302AC6" w:rsidRDefault="00302AC6" w:rsidP="00BE4ECC">
      <w:pPr>
        <w:pStyle w:val="Heading2"/>
        <w:rPr>
          <w:lang w:val="en-US"/>
        </w:rPr>
      </w:pPr>
      <w:bookmarkStart w:id="11" w:name="_Toc50640842"/>
      <w:r w:rsidRPr="00302AC6">
        <w:rPr>
          <w:lang w:val="en-US"/>
        </w:rPr>
        <w:lastRenderedPageBreak/>
        <w:t>Improved industry compliance</w:t>
      </w:r>
      <w:bookmarkEnd w:id="11"/>
    </w:p>
    <w:p w14:paraId="442C42F1" w14:textId="165A2E5D" w:rsidR="00302AC6" w:rsidRDefault="00302AC6" w:rsidP="00BE4ECC">
      <w:pPr>
        <w:rPr>
          <w:lang w:val="en-US"/>
        </w:rPr>
      </w:pPr>
      <w:r w:rsidRPr="00302AC6">
        <w:rPr>
          <w:lang w:val="en-US"/>
        </w:rPr>
        <w:t>We will support voluntary compliance of industry by providing easy access to information and training for regulated entities and proportionate enforcement action for non-compliance.</w:t>
      </w:r>
    </w:p>
    <w:tbl>
      <w:tblPr>
        <w:tblStyle w:val="TableGrid"/>
        <w:tblW w:w="0" w:type="auto"/>
        <w:tblLook w:val="0420" w:firstRow="1" w:lastRow="0" w:firstColumn="0" w:lastColumn="0" w:noHBand="0" w:noVBand="1"/>
      </w:tblPr>
      <w:tblGrid>
        <w:gridCol w:w="4811"/>
        <w:gridCol w:w="4811"/>
      </w:tblGrid>
      <w:tr w:rsidR="00302AC6" w14:paraId="148F00E1" w14:textId="77777777" w:rsidTr="00D3351C">
        <w:trPr>
          <w:cnfStyle w:val="100000000000" w:firstRow="1" w:lastRow="0" w:firstColumn="0" w:lastColumn="0" w:oddVBand="0" w:evenVBand="0" w:oddHBand="0" w:evenHBand="0" w:firstRowFirstColumn="0" w:firstRowLastColumn="0" w:lastRowFirstColumn="0" w:lastRowLastColumn="0"/>
        </w:trPr>
        <w:tc>
          <w:tcPr>
            <w:tcW w:w="4811" w:type="dxa"/>
          </w:tcPr>
          <w:p w14:paraId="59C8BBE0" w14:textId="14FE4173" w:rsidR="00302AC6" w:rsidRDefault="00302AC6" w:rsidP="00302AC6">
            <w:pPr>
              <w:pStyle w:val="Tableheaderwhite"/>
            </w:pPr>
            <w:r>
              <w:rPr>
                <w:rStyle w:val="Actstyle"/>
              </w:rPr>
              <w:t>How will</w:t>
            </w:r>
            <w:r w:rsidR="00BE4ECC">
              <w:rPr>
                <w:rStyle w:val="Actstyle"/>
              </w:rPr>
              <w:t xml:space="preserve"> we</w:t>
            </w:r>
            <w:r>
              <w:rPr>
                <w:rStyle w:val="Actstyle"/>
              </w:rPr>
              <w:t xml:space="preserve"> know if we are achieving this?</w:t>
            </w:r>
          </w:p>
        </w:tc>
        <w:tc>
          <w:tcPr>
            <w:tcW w:w="4811" w:type="dxa"/>
          </w:tcPr>
          <w:p w14:paraId="04DC5AAB" w14:textId="23012A2F" w:rsidR="00302AC6" w:rsidRDefault="00302AC6" w:rsidP="00302AC6">
            <w:pPr>
              <w:pStyle w:val="Tableheaderwhite"/>
            </w:pPr>
            <w:r>
              <w:rPr>
                <w:rStyle w:val="Actstyle"/>
              </w:rPr>
              <w:t xml:space="preserve">Outcome indicators </w:t>
            </w:r>
          </w:p>
        </w:tc>
      </w:tr>
      <w:tr w:rsidR="00302AC6" w14:paraId="72AB22D0" w14:textId="77777777" w:rsidTr="00D3351C">
        <w:tc>
          <w:tcPr>
            <w:tcW w:w="4811" w:type="dxa"/>
          </w:tcPr>
          <w:p w14:paraId="4D217867" w14:textId="5F9E2511" w:rsidR="00302AC6" w:rsidRDefault="00302AC6" w:rsidP="00302AC6">
            <w:pPr>
              <w:pStyle w:val="Tablebody"/>
            </w:pPr>
            <w:r>
              <w:rPr>
                <w:rStyle w:val="Actstyle"/>
                <w:spacing w:val="-2"/>
              </w:rPr>
              <w:t>Licensed entities understand compliance obligations</w:t>
            </w:r>
          </w:p>
        </w:tc>
        <w:tc>
          <w:tcPr>
            <w:tcW w:w="4811" w:type="dxa"/>
          </w:tcPr>
          <w:p w14:paraId="1814D7E5" w14:textId="292B7BC8" w:rsidR="00302AC6" w:rsidRDefault="00302AC6" w:rsidP="00302AC6">
            <w:pPr>
              <w:pStyle w:val="Tablebody"/>
            </w:pPr>
            <w:r>
              <w:rPr>
                <w:rStyle w:val="Actstyle"/>
                <w:spacing w:val="-2"/>
              </w:rPr>
              <w:t>New entrants maintain a positive compliance history</w:t>
            </w:r>
          </w:p>
        </w:tc>
      </w:tr>
      <w:tr w:rsidR="00302AC6" w14:paraId="6CB89A74" w14:textId="77777777" w:rsidTr="00D3351C">
        <w:tc>
          <w:tcPr>
            <w:tcW w:w="4811" w:type="dxa"/>
          </w:tcPr>
          <w:p w14:paraId="2A636F5D" w14:textId="03519EE7" w:rsidR="00302AC6" w:rsidRDefault="00302AC6" w:rsidP="00302AC6">
            <w:pPr>
              <w:pStyle w:val="Tablebody"/>
            </w:pPr>
            <w:r>
              <w:rPr>
                <w:rStyle w:val="Actstyle"/>
              </w:rPr>
              <w:t>High levels of compliance</w:t>
            </w:r>
          </w:p>
        </w:tc>
        <w:tc>
          <w:tcPr>
            <w:tcW w:w="4811" w:type="dxa"/>
          </w:tcPr>
          <w:p w14:paraId="43B4088B" w14:textId="41B6DC3A" w:rsidR="00302AC6" w:rsidRDefault="00302AC6" w:rsidP="00302AC6">
            <w:pPr>
              <w:pStyle w:val="Tablebody"/>
            </w:pPr>
            <w:r>
              <w:rPr>
                <w:rStyle w:val="Actstyle"/>
              </w:rPr>
              <w:t>Enforcement action against recidivist licensees</w:t>
            </w:r>
          </w:p>
        </w:tc>
      </w:tr>
      <w:tr w:rsidR="00302AC6" w14:paraId="5185764E" w14:textId="77777777" w:rsidTr="00D3351C">
        <w:tc>
          <w:tcPr>
            <w:tcW w:w="4811" w:type="dxa"/>
          </w:tcPr>
          <w:p w14:paraId="010A4BCE" w14:textId="5FB76EC0" w:rsidR="00302AC6" w:rsidRDefault="00302AC6" w:rsidP="00302AC6">
            <w:pPr>
              <w:pStyle w:val="Tablebody"/>
            </w:pPr>
            <w:r>
              <w:rPr>
                <w:rStyle w:val="Actstyle"/>
              </w:rPr>
              <w:t>Regulatory interventions minimise harm</w:t>
            </w:r>
          </w:p>
        </w:tc>
        <w:tc>
          <w:tcPr>
            <w:tcW w:w="4811" w:type="dxa"/>
          </w:tcPr>
          <w:p w14:paraId="030AD476" w14:textId="4BDE161D" w:rsidR="00302AC6" w:rsidRDefault="00302AC6" w:rsidP="00302AC6">
            <w:pPr>
              <w:pStyle w:val="Tablebody"/>
            </w:pPr>
            <w:r>
              <w:rPr>
                <w:rStyle w:val="Actstyle"/>
              </w:rPr>
              <w:t>Enforcement actions from high-risk breaches</w:t>
            </w:r>
          </w:p>
        </w:tc>
      </w:tr>
      <w:tr w:rsidR="00302AC6" w14:paraId="387D1C9D" w14:textId="77777777" w:rsidTr="00D3351C">
        <w:tc>
          <w:tcPr>
            <w:tcW w:w="4811" w:type="dxa"/>
          </w:tcPr>
          <w:p w14:paraId="7A8B2C5C" w14:textId="2203359F" w:rsidR="00302AC6" w:rsidRDefault="00302AC6" w:rsidP="00302AC6">
            <w:pPr>
              <w:pStyle w:val="Tablebody"/>
              <w:rPr>
                <w:rStyle w:val="Actstyle"/>
              </w:rPr>
            </w:pPr>
            <w:r>
              <w:rPr>
                <w:rStyle w:val="Actstyle"/>
              </w:rPr>
              <w:t>Regulatory interventions support consumer protection</w:t>
            </w:r>
          </w:p>
        </w:tc>
        <w:tc>
          <w:tcPr>
            <w:tcW w:w="4811" w:type="dxa"/>
          </w:tcPr>
          <w:p w14:paraId="4831C5C6" w14:textId="702CDB7E" w:rsidR="00302AC6" w:rsidRDefault="00302AC6" w:rsidP="00302AC6">
            <w:pPr>
              <w:pStyle w:val="Tablebody"/>
              <w:rPr>
                <w:rStyle w:val="Actstyle"/>
              </w:rPr>
            </w:pPr>
            <w:r>
              <w:rPr>
                <w:rStyle w:val="Actstyle"/>
              </w:rPr>
              <w:t>Number of detected breaches at high risk venues at high risk times</w:t>
            </w:r>
          </w:p>
        </w:tc>
      </w:tr>
    </w:tbl>
    <w:p w14:paraId="7B8BD489" w14:textId="77777777" w:rsidR="00302AC6" w:rsidRDefault="00302AC6" w:rsidP="00BE4ECC">
      <w:pPr>
        <w:pStyle w:val="Heading3"/>
      </w:pPr>
      <w:r>
        <w:t>New entrants maintain a positive compliance history</w:t>
      </w:r>
    </w:p>
    <w:p w14:paraId="3E659005" w14:textId="77777777" w:rsidR="00302AC6" w:rsidRDefault="00302AC6" w:rsidP="00302AC6">
      <w:r>
        <w:t>New entrants (licensees) maintain a positive compliance history.</w:t>
      </w:r>
    </w:p>
    <w:p w14:paraId="5952DA38" w14:textId="77777777" w:rsidR="00302AC6" w:rsidRDefault="00302AC6" w:rsidP="00302AC6">
      <w:r>
        <w:t>Measures include:</w:t>
      </w:r>
    </w:p>
    <w:p w14:paraId="5A8A7E58" w14:textId="77777777" w:rsidR="00302AC6" w:rsidRDefault="00302AC6" w:rsidP="00BE4ECC">
      <w:pPr>
        <w:pStyle w:val="Bullet1"/>
      </w:pPr>
      <w:r>
        <w:t xml:space="preserve">Education visits to new licensees within first three months of operations </w:t>
      </w:r>
    </w:p>
    <w:p w14:paraId="0E1DD44F" w14:textId="77777777" w:rsidR="00302AC6" w:rsidRDefault="00302AC6" w:rsidP="00BE4ECC">
      <w:pPr>
        <w:pStyle w:val="Bullet1"/>
      </w:pPr>
      <w:r>
        <w:t>Compliance history within first year of operation.</w:t>
      </w:r>
    </w:p>
    <w:p w14:paraId="2966821D" w14:textId="77777777" w:rsidR="00302AC6" w:rsidRDefault="00302AC6" w:rsidP="00302AC6">
      <w:r>
        <w:t>Outcomes of education activities and inspections generally demonstrates compliance by new entrants.</w:t>
      </w:r>
    </w:p>
    <w:p w14:paraId="5C9A5AD7" w14:textId="77777777" w:rsidR="00302AC6" w:rsidRDefault="00302AC6" w:rsidP="00BE4ECC">
      <w:pPr>
        <w:pStyle w:val="Heading3"/>
      </w:pPr>
      <w:r>
        <w:t xml:space="preserve">Enforcement action against recidivist licensees </w:t>
      </w:r>
    </w:p>
    <w:p w14:paraId="289BCED0" w14:textId="77777777" w:rsidR="00302AC6" w:rsidRDefault="00302AC6" w:rsidP="00302AC6">
      <w:r>
        <w:t>Enforcement sanctions demonstrate proportionate escalation in the absence of a demonstrable effort to meet the required standards and where non-compliance continues or is repeated.</w:t>
      </w:r>
    </w:p>
    <w:p w14:paraId="7C59B9D5" w14:textId="77777777" w:rsidR="00302AC6" w:rsidRDefault="00302AC6" w:rsidP="00BE4ECC">
      <w:pPr>
        <w:pStyle w:val="Heading3"/>
      </w:pPr>
      <w:r>
        <w:t>Enforcement actions from high-risk breaches</w:t>
      </w:r>
    </w:p>
    <w:p w14:paraId="193B0A08" w14:textId="77777777" w:rsidR="00302AC6" w:rsidRDefault="00302AC6" w:rsidP="00302AC6">
      <w:r>
        <w:t>Enforcement sanctions demonstrate proportionate enforcement actions relating to high risk breaches in order to deter non-compliance.</w:t>
      </w:r>
    </w:p>
    <w:p w14:paraId="08FC8CE2" w14:textId="77777777" w:rsidR="00302AC6" w:rsidRDefault="00302AC6" w:rsidP="00BE4ECC">
      <w:pPr>
        <w:pStyle w:val="Heading3"/>
      </w:pPr>
      <w:r>
        <w:t>Number of detected breaches at high risk venues at high risk times</w:t>
      </w:r>
    </w:p>
    <w:p w14:paraId="34F8820A" w14:textId="5BB56183" w:rsidR="00302AC6" w:rsidRPr="00302AC6" w:rsidRDefault="00302AC6" w:rsidP="00302AC6">
      <w:r>
        <w:t>Deployment of resources to high risk venues at high risk times results in a high percentage of detection of breaches.</w:t>
      </w:r>
    </w:p>
    <w:p w14:paraId="22C636D3" w14:textId="77777777" w:rsidR="00BE4ECC" w:rsidRPr="00BE4ECC" w:rsidRDefault="00BE4ECC" w:rsidP="00BE4ECC">
      <w:pPr>
        <w:pStyle w:val="Heading2"/>
        <w:rPr>
          <w:lang w:val="en-US"/>
        </w:rPr>
      </w:pPr>
      <w:bookmarkStart w:id="12" w:name="_Toc50640843"/>
      <w:r w:rsidRPr="00BE4ECC">
        <w:rPr>
          <w:lang w:val="en-US"/>
        </w:rPr>
        <w:t>VCGLR is easy to access</w:t>
      </w:r>
      <w:bookmarkEnd w:id="12"/>
    </w:p>
    <w:p w14:paraId="67D73034" w14:textId="2AB6662E" w:rsidR="00BE4ECC" w:rsidRDefault="00BE4ECC" w:rsidP="00BE4ECC">
      <w:pPr>
        <w:rPr>
          <w:lang w:val="en-US"/>
        </w:rPr>
      </w:pPr>
      <w:r w:rsidRPr="00BE4ECC">
        <w:rPr>
          <w:lang w:val="en-US"/>
        </w:rPr>
        <w:t xml:space="preserve">Information and service delivery channels are accessible and highly </w:t>
      </w:r>
      <w:proofErr w:type="spellStart"/>
      <w:r w:rsidRPr="00BE4ECC">
        <w:rPr>
          <w:lang w:val="en-US"/>
        </w:rPr>
        <w:t>utilised</w:t>
      </w:r>
      <w:proofErr w:type="spellEnd"/>
      <w:r w:rsidRPr="00BE4ECC">
        <w:rPr>
          <w:lang w:val="en-US"/>
        </w:rPr>
        <w:t xml:space="preserve"> by our stakeholders. Our service delivery channels aim to deliver the right content for the right query at the first contact.</w:t>
      </w:r>
    </w:p>
    <w:tbl>
      <w:tblPr>
        <w:tblStyle w:val="TableGrid"/>
        <w:tblW w:w="0" w:type="auto"/>
        <w:tblLook w:val="0420" w:firstRow="1" w:lastRow="0" w:firstColumn="0" w:lastColumn="0" w:noHBand="0" w:noVBand="1"/>
      </w:tblPr>
      <w:tblGrid>
        <w:gridCol w:w="4811"/>
        <w:gridCol w:w="4811"/>
      </w:tblGrid>
      <w:tr w:rsidR="00BE4ECC" w14:paraId="7DFC7354" w14:textId="77777777" w:rsidTr="00D3351C">
        <w:trPr>
          <w:cnfStyle w:val="100000000000" w:firstRow="1" w:lastRow="0" w:firstColumn="0" w:lastColumn="0" w:oddVBand="0" w:evenVBand="0" w:oddHBand="0" w:evenHBand="0" w:firstRowFirstColumn="0" w:firstRowLastColumn="0" w:lastRowFirstColumn="0" w:lastRowLastColumn="0"/>
        </w:trPr>
        <w:tc>
          <w:tcPr>
            <w:tcW w:w="4811" w:type="dxa"/>
          </w:tcPr>
          <w:p w14:paraId="2A4E42AF" w14:textId="77777777" w:rsidR="00BE4ECC" w:rsidRDefault="00BE4ECC" w:rsidP="00D3351C">
            <w:pPr>
              <w:pStyle w:val="Tableheaderwhite"/>
            </w:pPr>
            <w:r>
              <w:rPr>
                <w:rStyle w:val="Actstyle"/>
              </w:rPr>
              <w:t>How will we know if we are achieving this?</w:t>
            </w:r>
          </w:p>
        </w:tc>
        <w:tc>
          <w:tcPr>
            <w:tcW w:w="4811" w:type="dxa"/>
          </w:tcPr>
          <w:p w14:paraId="1760F750" w14:textId="77777777" w:rsidR="00BE4ECC" w:rsidRDefault="00BE4ECC" w:rsidP="00D3351C">
            <w:pPr>
              <w:pStyle w:val="Tableheaderwhite"/>
            </w:pPr>
            <w:r>
              <w:rPr>
                <w:rStyle w:val="Actstyle"/>
              </w:rPr>
              <w:t xml:space="preserve">Outcome indicators </w:t>
            </w:r>
          </w:p>
        </w:tc>
      </w:tr>
      <w:tr w:rsidR="00BE4ECC" w14:paraId="71E37A1F" w14:textId="77777777" w:rsidTr="00D3351C">
        <w:tc>
          <w:tcPr>
            <w:tcW w:w="4811" w:type="dxa"/>
          </w:tcPr>
          <w:p w14:paraId="58E1515B" w14:textId="2BA3581D" w:rsidR="00BE4ECC" w:rsidRDefault="00BE4ECC" w:rsidP="00BE4ECC">
            <w:pPr>
              <w:pStyle w:val="Tablebody"/>
            </w:pPr>
            <w:r>
              <w:rPr>
                <w:rStyle w:val="Actstyle"/>
              </w:rPr>
              <w:t>Seamless use of digital platforms and online information</w:t>
            </w:r>
          </w:p>
        </w:tc>
        <w:tc>
          <w:tcPr>
            <w:tcW w:w="4811" w:type="dxa"/>
          </w:tcPr>
          <w:p w14:paraId="56FAE301" w14:textId="7D697FCC" w:rsidR="00BE4ECC" w:rsidRDefault="00BE4ECC" w:rsidP="00BE4ECC">
            <w:pPr>
              <w:pStyle w:val="Tablebody"/>
            </w:pPr>
            <w:r>
              <w:rPr>
                <w:rStyle w:val="Actstyle"/>
              </w:rPr>
              <w:t>Reduction in calls for information available on the VCGLR website</w:t>
            </w:r>
          </w:p>
        </w:tc>
      </w:tr>
      <w:tr w:rsidR="00BE4ECC" w14:paraId="753E4764" w14:textId="77777777" w:rsidTr="00D3351C">
        <w:tc>
          <w:tcPr>
            <w:tcW w:w="4811" w:type="dxa"/>
          </w:tcPr>
          <w:p w14:paraId="3ED0F285" w14:textId="0EA91EF2" w:rsidR="00BE4ECC" w:rsidRDefault="00BE4ECC" w:rsidP="00BE4ECC">
            <w:pPr>
              <w:pStyle w:val="Tablebody"/>
            </w:pPr>
            <w:r>
              <w:rPr>
                <w:rStyle w:val="Actstyle"/>
              </w:rPr>
              <w:t>Information is easy to understand, consistent, accurate and current</w:t>
            </w:r>
          </w:p>
        </w:tc>
        <w:tc>
          <w:tcPr>
            <w:tcW w:w="4811" w:type="dxa"/>
          </w:tcPr>
          <w:p w14:paraId="70F4AA83" w14:textId="02192483" w:rsidR="00BE4ECC" w:rsidRDefault="00BE4ECC" w:rsidP="00BE4ECC">
            <w:pPr>
              <w:pStyle w:val="Tablebody"/>
            </w:pPr>
            <w:r>
              <w:rPr>
                <w:rStyle w:val="Actstyle"/>
              </w:rPr>
              <w:t>High levels of stakeholder satisfaction</w:t>
            </w:r>
          </w:p>
        </w:tc>
      </w:tr>
      <w:tr w:rsidR="00BE4ECC" w14:paraId="40B4E9AA" w14:textId="77777777" w:rsidTr="00D3351C">
        <w:tc>
          <w:tcPr>
            <w:tcW w:w="4811" w:type="dxa"/>
          </w:tcPr>
          <w:p w14:paraId="7145C56E" w14:textId="51987B8D" w:rsidR="00BE4ECC" w:rsidRDefault="00BE4ECC" w:rsidP="00BE4ECC">
            <w:pPr>
              <w:pStyle w:val="Tablebody"/>
            </w:pPr>
            <w:r>
              <w:rPr>
                <w:rStyle w:val="Actstyle"/>
              </w:rPr>
              <w:lastRenderedPageBreak/>
              <w:t>Queries resolved at first point of contact</w:t>
            </w:r>
          </w:p>
        </w:tc>
        <w:tc>
          <w:tcPr>
            <w:tcW w:w="4811" w:type="dxa"/>
          </w:tcPr>
          <w:p w14:paraId="1CB401C7" w14:textId="6ACC3280" w:rsidR="00BE4ECC" w:rsidRDefault="00BE4ECC" w:rsidP="00BE4ECC">
            <w:pPr>
              <w:pStyle w:val="Tablebody"/>
            </w:pPr>
            <w:r>
              <w:rPr>
                <w:rStyle w:val="Actstyle"/>
              </w:rPr>
              <w:t>Digital platforms and resources meet accessibility requirements</w:t>
            </w:r>
          </w:p>
        </w:tc>
      </w:tr>
    </w:tbl>
    <w:p w14:paraId="6AC2AEA7" w14:textId="77777777" w:rsidR="00BE4ECC" w:rsidRPr="00BE4ECC" w:rsidRDefault="00BE4ECC" w:rsidP="00BE4ECC">
      <w:pPr>
        <w:pStyle w:val="Heading3"/>
      </w:pPr>
      <w:r w:rsidRPr="00BE4ECC">
        <w:t>Reduction in calls for information available on the VCGLR website</w:t>
      </w:r>
    </w:p>
    <w:p w14:paraId="49B32498" w14:textId="77777777" w:rsidR="00BE4ECC" w:rsidRPr="00BE4ECC" w:rsidRDefault="00BE4ECC" w:rsidP="00BE4ECC">
      <w:r w:rsidRPr="00BE4ECC">
        <w:t>We will report on the number of enquiries made for key transactional information available on the website and correlate these to any enhancements and changes to the relevant web content.</w:t>
      </w:r>
    </w:p>
    <w:p w14:paraId="788FB295" w14:textId="77777777" w:rsidR="00BE4ECC" w:rsidRPr="00BE4ECC" w:rsidRDefault="00BE4ECC" w:rsidP="00BE4ECC">
      <w:pPr>
        <w:pStyle w:val="Heading3"/>
      </w:pPr>
      <w:r w:rsidRPr="00BE4ECC">
        <w:t xml:space="preserve">High levels stakeholder satisfaction </w:t>
      </w:r>
    </w:p>
    <w:p w14:paraId="3BC2F664" w14:textId="77777777" w:rsidR="00BE4ECC" w:rsidRPr="00BE4ECC" w:rsidRDefault="00BE4ECC" w:rsidP="00BE4ECC">
      <w:r w:rsidRPr="00BE4ECC">
        <w:t>Each year we conduct a number of stakeholder surveys canvassing feedback from community, industry and stakeholders. Results and subsequent actions to respond to these surveys will be published in the annual report or our website. User engagement can also be measured by downloads/page views for key resources/online transactions. Stakeholder feedback including complaints and positive feedback made via the website are reported.</w:t>
      </w:r>
    </w:p>
    <w:p w14:paraId="41732256" w14:textId="77777777" w:rsidR="00BE4ECC" w:rsidRPr="00BE4ECC" w:rsidRDefault="00BE4ECC" w:rsidP="00BE4ECC">
      <w:pPr>
        <w:pStyle w:val="Heading3"/>
      </w:pPr>
      <w:r w:rsidRPr="00BE4ECC">
        <w:t xml:space="preserve">Digital platforms and resources meet accessibility requirements </w:t>
      </w:r>
    </w:p>
    <w:p w14:paraId="213DF8F0" w14:textId="1AF6B311" w:rsidR="00BE4ECC" w:rsidRPr="0060244C" w:rsidRDefault="00BE4ECC" w:rsidP="00BE4ECC">
      <w:r w:rsidRPr="00BE4ECC">
        <w:t>We reduce the volume of PDF documents on the website and ensure all resources are available in accessible formats. Our websites and resources meet AA Website Content Accessibility Guidelines. Brand and digital design standards are consistently applied to all resources and digital platforms. We use plain language and review content at least annually.</w:t>
      </w:r>
    </w:p>
    <w:p w14:paraId="64785DFE" w14:textId="77777777" w:rsidR="00BE4ECC" w:rsidRPr="00BE4ECC" w:rsidRDefault="00BE4ECC" w:rsidP="00BE4ECC">
      <w:pPr>
        <w:pStyle w:val="Heading2"/>
        <w:rPr>
          <w:lang w:val="en-US"/>
        </w:rPr>
      </w:pPr>
      <w:bookmarkStart w:id="13" w:name="_Toc50640844"/>
      <w:r w:rsidRPr="00BE4ECC">
        <w:rPr>
          <w:lang w:val="en-US"/>
        </w:rPr>
        <w:t xml:space="preserve">VCGLR is a sustainable </w:t>
      </w:r>
      <w:proofErr w:type="spellStart"/>
      <w:r w:rsidRPr="00BE4ECC">
        <w:rPr>
          <w:lang w:val="en-US"/>
        </w:rPr>
        <w:t>organisation</w:t>
      </w:r>
      <w:bookmarkEnd w:id="13"/>
      <w:proofErr w:type="spellEnd"/>
    </w:p>
    <w:p w14:paraId="0EC10AF9" w14:textId="78BAB881" w:rsidR="00BE4ECC" w:rsidRPr="00BE4ECC" w:rsidRDefault="00BE4ECC" w:rsidP="00BE4ECC">
      <w:pPr>
        <w:rPr>
          <w:lang w:val="en-US"/>
        </w:rPr>
      </w:pPr>
      <w:r w:rsidRPr="00BE4ECC">
        <w:rPr>
          <w:lang w:val="en-US"/>
        </w:rPr>
        <w:t>Resource allocation is sufficient to maintain appropriate capability and capacity to deliver legislative obligations to a high standard.</w:t>
      </w:r>
    </w:p>
    <w:tbl>
      <w:tblPr>
        <w:tblStyle w:val="TableGrid"/>
        <w:tblW w:w="0" w:type="auto"/>
        <w:tblLook w:val="0420" w:firstRow="1" w:lastRow="0" w:firstColumn="0" w:lastColumn="0" w:noHBand="0" w:noVBand="1"/>
      </w:tblPr>
      <w:tblGrid>
        <w:gridCol w:w="4811"/>
        <w:gridCol w:w="4811"/>
      </w:tblGrid>
      <w:tr w:rsidR="00BE4ECC" w14:paraId="523BF019" w14:textId="77777777" w:rsidTr="00D3351C">
        <w:trPr>
          <w:cnfStyle w:val="100000000000" w:firstRow="1" w:lastRow="0" w:firstColumn="0" w:lastColumn="0" w:oddVBand="0" w:evenVBand="0" w:oddHBand="0" w:evenHBand="0" w:firstRowFirstColumn="0" w:firstRowLastColumn="0" w:lastRowFirstColumn="0" w:lastRowLastColumn="0"/>
        </w:trPr>
        <w:tc>
          <w:tcPr>
            <w:tcW w:w="4811" w:type="dxa"/>
          </w:tcPr>
          <w:p w14:paraId="06D8B9A0" w14:textId="77777777" w:rsidR="00BE4ECC" w:rsidRDefault="00BE4ECC" w:rsidP="00D3351C">
            <w:pPr>
              <w:pStyle w:val="Tableheaderwhite"/>
            </w:pPr>
            <w:r>
              <w:rPr>
                <w:rStyle w:val="Actstyle"/>
              </w:rPr>
              <w:t>How will we know if we are achieving this?</w:t>
            </w:r>
          </w:p>
        </w:tc>
        <w:tc>
          <w:tcPr>
            <w:tcW w:w="4811" w:type="dxa"/>
          </w:tcPr>
          <w:p w14:paraId="4355EB98" w14:textId="77777777" w:rsidR="00BE4ECC" w:rsidRDefault="00BE4ECC" w:rsidP="00D3351C">
            <w:pPr>
              <w:pStyle w:val="Tableheaderwhite"/>
            </w:pPr>
            <w:r>
              <w:rPr>
                <w:rStyle w:val="Actstyle"/>
              </w:rPr>
              <w:t xml:space="preserve">Outcome indicators </w:t>
            </w:r>
          </w:p>
        </w:tc>
      </w:tr>
      <w:tr w:rsidR="00BE4ECC" w14:paraId="534338B4" w14:textId="77777777" w:rsidTr="00D3351C">
        <w:tc>
          <w:tcPr>
            <w:tcW w:w="4811" w:type="dxa"/>
          </w:tcPr>
          <w:p w14:paraId="6076CCAA" w14:textId="4B0A6EF0" w:rsidR="00BE4ECC" w:rsidRDefault="00BE4ECC" w:rsidP="00BE4ECC">
            <w:pPr>
              <w:pStyle w:val="Tablebody"/>
            </w:pPr>
            <w:r>
              <w:rPr>
                <w:rStyle w:val="Actstyle"/>
              </w:rPr>
              <w:t xml:space="preserve">Appropriate ongoing resourcing </w:t>
            </w:r>
          </w:p>
        </w:tc>
        <w:tc>
          <w:tcPr>
            <w:tcW w:w="4811" w:type="dxa"/>
          </w:tcPr>
          <w:p w14:paraId="489690F1" w14:textId="6D63D020" w:rsidR="00BE4ECC" w:rsidRDefault="00BE4ECC" w:rsidP="00BE4ECC">
            <w:pPr>
              <w:pStyle w:val="Tablebody"/>
            </w:pPr>
            <w:r>
              <w:rPr>
                <w:rStyle w:val="Actstyle"/>
              </w:rPr>
              <w:t>Improved operational capability</w:t>
            </w:r>
          </w:p>
        </w:tc>
      </w:tr>
      <w:tr w:rsidR="00BE4ECC" w14:paraId="074258D1" w14:textId="77777777" w:rsidTr="00D3351C">
        <w:tc>
          <w:tcPr>
            <w:tcW w:w="4811" w:type="dxa"/>
          </w:tcPr>
          <w:p w14:paraId="54E33259" w14:textId="53CE5E26" w:rsidR="00BE4ECC" w:rsidRDefault="00BE4ECC" w:rsidP="00BE4ECC">
            <w:pPr>
              <w:pStyle w:val="Tablebody"/>
            </w:pPr>
            <w:r>
              <w:rPr>
                <w:rStyle w:val="Actstyle"/>
              </w:rPr>
              <w:t>Integrated processes and skills</w:t>
            </w:r>
          </w:p>
        </w:tc>
        <w:tc>
          <w:tcPr>
            <w:tcW w:w="4811" w:type="dxa"/>
          </w:tcPr>
          <w:p w14:paraId="2B0F5BD2" w14:textId="7BFA7839" w:rsidR="00BE4ECC" w:rsidRDefault="00BE4ECC" w:rsidP="00BE4ECC">
            <w:pPr>
              <w:pStyle w:val="Tablebody"/>
            </w:pPr>
            <w:r>
              <w:rPr>
                <w:rStyle w:val="Actstyle"/>
              </w:rPr>
              <w:t>Resources are aligned to operational requirements</w:t>
            </w:r>
          </w:p>
        </w:tc>
      </w:tr>
      <w:tr w:rsidR="00BE4ECC" w14:paraId="027722BE" w14:textId="77777777" w:rsidTr="00D3351C">
        <w:tc>
          <w:tcPr>
            <w:tcW w:w="4811" w:type="dxa"/>
          </w:tcPr>
          <w:p w14:paraId="1755EF05" w14:textId="6CD38C6E" w:rsidR="00BE4ECC" w:rsidRDefault="00BE4ECC" w:rsidP="00BE4ECC">
            <w:pPr>
              <w:pStyle w:val="Tablebody"/>
            </w:pPr>
            <w:r>
              <w:rPr>
                <w:rStyle w:val="Actstyle"/>
              </w:rPr>
              <w:t>Staffing levels are aligned to operational requirements</w:t>
            </w:r>
          </w:p>
        </w:tc>
        <w:tc>
          <w:tcPr>
            <w:tcW w:w="4811" w:type="dxa"/>
          </w:tcPr>
          <w:p w14:paraId="56BF42EB" w14:textId="65F45FA0" w:rsidR="00BE4ECC" w:rsidRDefault="00BE4ECC" w:rsidP="00BE4ECC">
            <w:pPr>
              <w:pStyle w:val="Tablebody"/>
            </w:pPr>
            <w:r>
              <w:rPr>
                <w:rStyle w:val="Actstyle"/>
              </w:rPr>
              <w:t>Workforce Strategy implemented</w:t>
            </w:r>
          </w:p>
        </w:tc>
      </w:tr>
      <w:tr w:rsidR="00BE4ECC" w14:paraId="345F1A54" w14:textId="77777777" w:rsidTr="00D3351C">
        <w:tc>
          <w:tcPr>
            <w:tcW w:w="4811" w:type="dxa"/>
          </w:tcPr>
          <w:p w14:paraId="2F7C7FAF" w14:textId="4AE2857E" w:rsidR="00BE4ECC" w:rsidRDefault="00BE4ECC" w:rsidP="00BE4ECC">
            <w:pPr>
              <w:pStyle w:val="Tablebody"/>
              <w:rPr>
                <w:rStyle w:val="Actstyle"/>
              </w:rPr>
            </w:pPr>
            <w:r>
              <w:rPr>
                <w:rStyle w:val="Actstyle"/>
              </w:rPr>
              <w:t>Fit for purpose technological environment</w:t>
            </w:r>
          </w:p>
        </w:tc>
        <w:tc>
          <w:tcPr>
            <w:tcW w:w="4811" w:type="dxa"/>
          </w:tcPr>
          <w:p w14:paraId="563B19F1" w14:textId="6DA3FE46" w:rsidR="00BE4ECC" w:rsidRDefault="00BE4ECC" w:rsidP="00BE4ECC">
            <w:pPr>
              <w:pStyle w:val="Tablebody"/>
              <w:rPr>
                <w:rStyle w:val="Actstyle"/>
              </w:rPr>
            </w:pPr>
            <w:r>
              <w:rPr>
                <w:rStyle w:val="Actstyle"/>
              </w:rPr>
              <w:t>ICT Strategy implemented</w:t>
            </w:r>
          </w:p>
        </w:tc>
      </w:tr>
    </w:tbl>
    <w:p w14:paraId="6CC188EB" w14:textId="77777777" w:rsidR="00BE4ECC" w:rsidRPr="00BE4ECC" w:rsidRDefault="00BE4ECC" w:rsidP="00BE4ECC">
      <w:pPr>
        <w:rPr>
          <w:lang w:val="en-AU"/>
        </w:rPr>
      </w:pPr>
      <w:r w:rsidRPr="00BE4ECC">
        <w:rPr>
          <w:lang w:val="en-AU"/>
        </w:rPr>
        <w:t>Improved operational capability</w:t>
      </w:r>
    </w:p>
    <w:p w14:paraId="57AE977B" w14:textId="77777777" w:rsidR="00BE4ECC" w:rsidRPr="00BE4ECC" w:rsidRDefault="00BE4ECC" w:rsidP="00BE4ECC">
      <w:pPr>
        <w:rPr>
          <w:lang w:val="en-AU"/>
        </w:rPr>
      </w:pPr>
      <w:r w:rsidRPr="00BE4ECC">
        <w:rPr>
          <w:lang w:val="en-AU"/>
        </w:rPr>
        <w:t>Through the ongoing review of policy, processes and practices we are always seeking to enhance operational capability. This will be achieved through the implementation of a Workforce Strategy including the delivery of targeted training and development. It will be supported by focussed divisional plans that cascade to team and individual performance plans.</w:t>
      </w:r>
    </w:p>
    <w:p w14:paraId="5FF635A7" w14:textId="77777777" w:rsidR="00BE4ECC" w:rsidRPr="00BE4ECC" w:rsidRDefault="00BE4ECC" w:rsidP="00BE4ECC">
      <w:pPr>
        <w:pStyle w:val="Heading3"/>
        <w:rPr>
          <w:lang w:val="en-AU"/>
        </w:rPr>
      </w:pPr>
      <w:r w:rsidRPr="00BE4ECC">
        <w:rPr>
          <w:lang w:val="en-AU"/>
        </w:rPr>
        <w:t xml:space="preserve">Resources are aligned to operational requirements </w:t>
      </w:r>
    </w:p>
    <w:p w14:paraId="03753E0F" w14:textId="77777777" w:rsidR="00BE4ECC" w:rsidRPr="00BE4ECC" w:rsidRDefault="00BE4ECC" w:rsidP="00BE4ECC">
      <w:pPr>
        <w:rPr>
          <w:lang w:val="en-AU"/>
        </w:rPr>
      </w:pPr>
      <w:r w:rsidRPr="00BE4ECC">
        <w:rPr>
          <w:lang w:val="en-AU"/>
        </w:rPr>
        <w:t>We seek to have a resource base that is matched to our regulatory effort and that our regulatory effort matches the policy intent of government.</w:t>
      </w:r>
    </w:p>
    <w:p w14:paraId="43DA78A0" w14:textId="77777777" w:rsidR="00BE4ECC" w:rsidRPr="00BE4ECC" w:rsidRDefault="00BE4ECC" w:rsidP="00BE4ECC">
      <w:pPr>
        <w:pStyle w:val="Heading3"/>
        <w:rPr>
          <w:lang w:val="en-AU"/>
        </w:rPr>
      </w:pPr>
      <w:r w:rsidRPr="00BE4ECC">
        <w:rPr>
          <w:lang w:val="en-AU"/>
        </w:rPr>
        <w:t xml:space="preserve">Workforce Strategy implemented </w:t>
      </w:r>
    </w:p>
    <w:p w14:paraId="2F526E4A" w14:textId="77777777" w:rsidR="00BE4ECC" w:rsidRPr="00BE4ECC" w:rsidRDefault="00BE4ECC" w:rsidP="00BE4ECC">
      <w:pPr>
        <w:rPr>
          <w:lang w:val="en-AU"/>
        </w:rPr>
      </w:pPr>
      <w:r w:rsidRPr="00BE4ECC">
        <w:rPr>
          <w:lang w:val="en-AU"/>
        </w:rPr>
        <w:t>The Workforce Strategy, with a focus on leadership, culture and capability, will ensure we are able to maintain and further develop a skilled workforce at all levels. Annual Business Plans will underpin the activity and performance against the Plan.</w:t>
      </w:r>
    </w:p>
    <w:p w14:paraId="085DD066" w14:textId="77777777" w:rsidR="00BE4ECC" w:rsidRPr="00BE4ECC" w:rsidRDefault="00BE4ECC" w:rsidP="00BE4ECC">
      <w:pPr>
        <w:pStyle w:val="Heading3"/>
        <w:rPr>
          <w:lang w:val="en-AU"/>
        </w:rPr>
      </w:pPr>
      <w:r w:rsidRPr="00BE4ECC">
        <w:rPr>
          <w:lang w:val="en-AU"/>
        </w:rPr>
        <w:lastRenderedPageBreak/>
        <w:t>ICT Strategy implemented</w:t>
      </w:r>
    </w:p>
    <w:p w14:paraId="4879ACA6" w14:textId="1DF505B6" w:rsidR="00302AC6" w:rsidRDefault="00BE4ECC" w:rsidP="00BE4ECC">
      <w:pPr>
        <w:rPr>
          <w:lang w:val="en-AU"/>
        </w:rPr>
      </w:pPr>
      <w:r w:rsidRPr="00BE4ECC">
        <w:rPr>
          <w:lang w:val="en-AU"/>
        </w:rPr>
        <w:t>The ICT strategy is designed to meet our current needs while ensuring the technology capability of the organisation keeps pace with change and that we are able to respond with infrastructure and tools consistent with the needs of a modern regulator. ICT is accountable to the ICT Steering Committee for delivery against annual plans in support of the strategy.</w:t>
      </w:r>
    </w:p>
    <w:p w14:paraId="138C1F83" w14:textId="77777777" w:rsidR="00BE4ECC" w:rsidRDefault="00BE4ECC">
      <w:pPr>
        <w:spacing w:after="0"/>
        <w:rPr>
          <w:rFonts w:asciiTheme="majorHAnsi" w:eastAsiaTheme="majorEastAsia" w:hAnsiTheme="majorHAnsi" w:cs="Times New Roman (Headings CS)"/>
          <w:b/>
          <w:color w:val="2459A9" w:themeColor="text1"/>
          <w:sz w:val="48"/>
          <w:szCs w:val="32"/>
        </w:rPr>
      </w:pPr>
      <w:r>
        <w:br w:type="page"/>
      </w:r>
    </w:p>
    <w:p w14:paraId="156E8828" w14:textId="7AB52CFF" w:rsidR="00BE4ECC" w:rsidRPr="00BE4ECC" w:rsidRDefault="00BE4ECC" w:rsidP="00BE4ECC">
      <w:pPr>
        <w:pStyle w:val="Heading1"/>
      </w:pPr>
      <w:bookmarkStart w:id="14" w:name="_Toc50640845"/>
      <w:r w:rsidRPr="00BE4ECC">
        <w:lastRenderedPageBreak/>
        <w:t>Our strategic priorities</w:t>
      </w:r>
      <w:bookmarkEnd w:id="14"/>
    </w:p>
    <w:p w14:paraId="083AEBE4" w14:textId="77777777" w:rsidR="00BE4ECC" w:rsidRPr="00BE4ECC" w:rsidRDefault="00BE4ECC" w:rsidP="00BE4ECC">
      <w:pPr>
        <w:pStyle w:val="Tableheader"/>
      </w:pPr>
      <w:r w:rsidRPr="00BE4ECC">
        <w:t>To drive achievement of these outcomes we have identified four strategic priorities that we will focus on over the next three years.</w:t>
      </w:r>
    </w:p>
    <w:p w14:paraId="57782E9E" w14:textId="51065DC9" w:rsidR="00BE4ECC" w:rsidRDefault="00BE4ECC" w:rsidP="00BE4ECC">
      <w:r w:rsidRPr="00BE4ECC">
        <w:t>These strategic priorities will be implemented through a range of annual actions that will be reviewed and updated on a yearly basis as part of our annual business planning process. These actions will be actively monitored, and progress reviewed by the Executive Management Team and reported to the Commission throughout the course of the year.</w:t>
      </w:r>
    </w:p>
    <w:p w14:paraId="7C48DA35" w14:textId="6DDECC3B" w:rsidR="0075197F" w:rsidRPr="00BE4ECC" w:rsidRDefault="0075197F" w:rsidP="00BE4ECC">
      <w:r w:rsidRPr="0075197F">
        <w:rPr>
          <w:noProof/>
        </w:rPr>
        <w:drawing>
          <wp:inline distT="0" distB="0" distL="0" distR="0" wp14:anchorId="174DE088" wp14:editId="74B38582">
            <wp:extent cx="5058137" cy="2266499"/>
            <wp:effectExtent l="0" t="0" r="0" b="0"/>
            <wp:docPr id="19" name="Picture 19" descr="•&#9;Be an influential regulator&#13;&#10;•&#9;Apply responsive regulatory practice&#13;&#10;•&#9;Enhance the user experience&#13;&#10;•&#9;Build and maintain a sustainable organisation&#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9;Be an influential regulator&#13;&#10;•&#9;Apply responsive regulatory practice&#13;&#10;•&#9;Enhance the user experience&#13;&#10;•&#9;Build and maintain a sustainable organisation&#13;&#10;"/>
                    <pic:cNvPicPr/>
                  </pic:nvPicPr>
                  <pic:blipFill>
                    <a:blip r:embed="rId23"/>
                    <a:stretch>
                      <a:fillRect/>
                    </a:stretch>
                  </pic:blipFill>
                  <pic:spPr>
                    <a:xfrm>
                      <a:off x="0" y="0"/>
                      <a:ext cx="5061333" cy="2267931"/>
                    </a:xfrm>
                    <a:prstGeom prst="rect">
                      <a:avLst/>
                    </a:prstGeom>
                  </pic:spPr>
                </pic:pic>
              </a:graphicData>
            </a:graphic>
          </wp:inline>
        </w:drawing>
      </w:r>
    </w:p>
    <w:p w14:paraId="6A22F0A9" w14:textId="01A19539" w:rsidR="00BE4ECC" w:rsidRPr="00612327" w:rsidRDefault="00BE4ECC" w:rsidP="00BE4ECC">
      <w:pPr>
        <w:pStyle w:val="Heading2"/>
        <w:rPr>
          <w:color w:val="470A68" w:themeColor="accent6"/>
        </w:rPr>
      </w:pPr>
      <w:bookmarkStart w:id="15" w:name="_Toc50640846"/>
      <w:r w:rsidRPr="00612327">
        <w:rPr>
          <w:color w:val="470A68" w:themeColor="accent6"/>
        </w:rPr>
        <w:t>Be an influential regulator</w:t>
      </w:r>
      <w:bookmarkEnd w:id="15"/>
    </w:p>
    <w:p w14:paraId="684DE00D" w14:textId="77777777" w:rsidR="00BE4ECC" w:rsidRDefault="00BE4ECC" w:rsidP="00BE4ECC">
      <w:r>
        <w:t xml:space="preserve">While we operate in a co-regulatory environment, we are the primary regulator of the sale and supply of liquor and gambling in Victoria. We continue to actively refine our regulatory practice to influence and effect compliance in dynamic and evolving industries. </w:t>
      </w:r>
    </w:p>
    <w:p w14:paraId="0E99534E" w14:textId="77777777" w:rsidR="00BE4ECC" w:rsidRDefault="00BE4ECC" w:rsidP="00BE4ECC">
      <w:r>
        <w:t>We continue to increase our engagement with international and Australian regulators and agencies and continue to enter into information-sharing arrangements. We recognise the importance of providing greater transparency of our regulatory activity.</w:t>
      </w:r>
    </w:p>
    <w:p w14:paraId="6DC9933E" w14:textId="5BFEFBE0" w:rsidR="00BE4ECC" w:rsidRDefault="00BE4ECC" w:rsidP="00BE4ECC">
      <w:r>
        <w:t>We will continue to focus on engagement with industry, community and stakeholders. We seek to influence industry behaviours to drive positive outcomes for the Victorian community. Meaningful stakeholder engagement will provide insights into industry performance as well as new and emerging business practice and products. In combination with feedback from the community through our stakeholder forums and other means, we will be better able to identify and understand potential risks and develop strategies to minimise the harm they may cause.</w:t>
      </w:r>
    </w:p>
    <w:p w14:paraId="2E46491B" w14:textId="77777777" w:rsidR="00BE4ECC" w:rsidRPr="00CA1C66" w:rsidRDefault="00BE4ECC" w:rsidP="00BE4ECC">
      <w:pPr>
        <w:rPr>
          <w:b/>
          <w:bCs/>
          <w:color w:val="470A68" w:themeColor="accent6"/>
        </w:rPr>
      </w:pPr>
      <w:r w:rsidRPr="00CA1C66">
        <w:rPr>
          <w:b/>
          <w:bCs/>
          <w:color w:val="470A68" w:themeColor="accent6"/>
        </w:rPr>
        <w:t>This strategic priority will make a strong contribution to the achievement of the following outcome:</w:t>
      </w:r>
    </w:p>
    <w:p w14:paraId="6011957E" w14:textId="596F4DB9" w:rsidR="00BE4ECC" w:rsidRPr="00CA1C66" w:rsidRDefault="00BE4ECC" w:rsidP="00BE4ECC">
      <w:pPr>
        <w:pStyle w:val="Bullet1"/>
        <w:rPr>
          <w:b/>
          <w:bCs/>
          <w:color w:val="470A68" w:themeColor="accent6"/>
        </w:rPr>
      </w:pPr>
      <w:r w:rsidRPr="00CA1C66">
        <w:rPr>
          <w:b/>
          <w:bCs/>
          <w:color w:val="470A68" w:themeColor="accent6"/>
        </w:rPr>
        <w:t>High levels of confidence in VCGLR</w:t>
      </w:r>
    </w:p>
    <w:p w14:paraId="69229207" w14:textId="77777777" w:rsidR="00BE4ECC" w:rsidRDefault="00BE4ECC" w:rsidP="00BE4ECC">
      <w:r>
        <w:t>Over the three-year period 2020–23 we will take the following actions to support this strategic priority. We will:</w:t>
      </w:r>
    </w:p>
    <w:p w14:paraId="6E4914F2" w14:textId="77777777" w:rsidR="00BE4ECC" w:rsidRDefault="00BE4ECC" w:rsidP="00BE4ECC">
      <w:pPr>
        <w:pStyle w:val="Numberlist"/>
        <w:numPr>
          <w:ilvl w:val="0"/>
          <w:numId w:val="35"/>
        </w:numPr>
        <w:ind w:left="426"/>
      </w:pPr>
      <w:r>
        <w:t>Implement a program of engagement with community, industry and co-regulators</w:t>
      </w:r>
    </w:p>
    <w:p w14:paraId="04B5722B" w14:textId="77777777" w:rsidR="00BE4ECC" w:rsidRDefault="00BE4ECC" w:rsidP="00BE4ECC">
      <w:pPr>
        <w:pStyle w:val="Numberlist"/>
        <w:numPr>
          <w:ilvl w:val="0"/>
          <w:numId w:val="35"/>
        </w:numPr>
        <w:ind w:left="426"/>
      </w:pPr>
      <w:r>
        <w:t xml:space="preserve">Use risk-based tools, data and intelligence to inform our regulatory decisions and actions </w:t>
      </w:r>
    </w:p>
    <w:p w14:paraId="2EE65AC3" w14:textId="3FE97E9D" w:rsidR="00BE4ECC" w:rsidRPr="00BE4ECC" w:rsidRDefault="00BE4ECC" w:rsidP="00BE4ECC">
      <w:pPr>
        <w:pStyle w:val="Numberlist"/>
        <w:numPr>
          <w:ilvl w:val="0"/>
          <w:numId w:val="35"/>
        </w:numPr>
        <w:ind w:left="426"/>
      </w:pPr>
      <w:r>
        <w:t>Implement a Strategic Communication and Engagement Framework to strengthen cooperation, collaboration, transparency and access to information.</w:t>
      </w:r>
    </w:p>
    <w:p w14:paraId="597768C5" w14:textId="7476B6CC" w:rsidR="00BE4ECC" w:rsidRPr="00612327" w:rsidRDefault="00BE4ECC" w:rsidP="00BE4ECC">
      <w:pPr>
        <w:pStyle w:val="Heading2"/>
        <w:rPr>
          <w:color w:val="68478D" w:themeColor="accent4"/>
        </w:rPr>
      </w:pPr>
      <w:bookmarkStart w:id="16" w:name="_Toc50640847"/>
      <w:r w:rsidRPr="00612327">
        <w:rPr>
          <w:color w:val="68478D" w:themeColor="accent4"/>
        </w:rPr>
        <w:lastRenderedPageBreak/>
        <w:t>Apply responsive regulatory practice</w:t>
      </w:r>
      <w:bookmarkEnd w:id="16"/>
    </w:p>
    <w:p w14:paraId="7F377B2C" w14:textId="77777777" w:rsidR="00BE4ECC" w:rsidRPr="00BE4ECC" w:rsidRDefault="00BE4ECC" w:rsidP="00BE4ECC">
      <w:r w:rsidRPr="00BE4ECC">
        <w:t xml:space="preserve">Consumers who choose to gamble or drink have the right to do so in a safe environment. This requires us to strike a balance between the enjoyment people get participating in these activities and the harms they can experience. </w:t>
      </w:r>
    </w:p>
    <w:p w14:paraId="0E7D3834" w14:textId="77777777" w:rsidR="00BE4ECC" w:rsidRPr="00BE4ECC" w:rsidRDefault="00BE4ECC" w:rsidP="00BE4ECC">
      <w:r w:rsidRPr="00BE4ECC">
        <w:t xml:space="preserve">We assess risks by applying a risk-based framework using a broad range of tools to minimise harm through our licensing, information and education, monitoring and enforcement functions. We then take appropriate enforcement action to deter non-compliance. </w:t>
      </w:r>
    </w:p>
    <w:p w14:paraId="74E1E80C" w14:textId="77777777" w:rsidR="00BE4ECC" w:rsidRPr="00BE4ECC" w:rsidRDefault="00BE4ECC" w:rsidP="00BE4ECC">
      <w:r w:rsidRPr="00BE4ECC">
        <w:t xml:space="preserve">We are committed to refining our operational discipline with a focus on identifying risk and addressing harm. This is achieved through the implementation of a workforce strategy, building capability particularly in the use of data, intelligence, assessment and investigative tools. </w:t>
      </w:r>
    </w:p>
    <w:p w14:paraId="1990074D" w14:textId="77777777" w:rsidR="00BE4ECC" w:rsidRPr="00BE4ECC" w:rsidRDefault="00BE4ECC" w:rsidP="00BE4ECC">
      <w:r w:rsidRPr="00BE4ECC">
        <w:t xml:space="preserve">We will collaborate and engage with our regulatory partners including Victoria Police, Federal agencies, government and work with the community and industry to develop ways to minimise harm. </w:t>
      </w:r>
    </w:p>
    <w:p w14:paraId="4693CE0E" w14:textId="77777777" w:rsidR="00BE4ECC" w:rsidRPr="00CA1C66" w:rsidRDefault="00BE4ECC" w:rsidP="00BE4ECC">
      <w:pPr>
        <w:rPr>
          <w:b/>
          <w:bCs/>
          <w:color w:val="68478D" w:themeColor="accent4"/>
        </w:rPr>
      </w:pPr>
      <w:r w:rsidRPr="00CA1C66">
        <w:rPr>
          <w:b/>
          <w:bCs/>
          <w:color w:val="68478D" w:themeColor="accent4"/>
        </w:rPr>
        <w:t>This strategic priority will make a strong contribution to the achievement of the following outcome:</w:t>
      </w:r>
    </w:p>
    <w:p w14:paraId="2F54C747" w14:textId="77777777" w:rsidR="00BE4ECC" w:rsidRPr="00CA1C66" w:rsidRDefault="00BE4ECC" w:rsidP="00BE4ECC">
      <w:pPr>
        <w:pStyle w:val="Bullet1"/>
        <w:rPr>
          <w:b/>
          <w:bCs/>
          <w:color w:val="68478D" w:themeColor="accent4"/>
        </w:rPr>
      </w:pPr>
      <w:r w:rsidRPr="00CA1C66">
        <w:rPr>
          <w:b/>
          <w:bCs/>
          <w:color w:val="68478D" w:themeColor="accent4"/>
        </w:rPr>
        <w:t>High levels of confidence in VCGLR</w:t>
      </w:r>
    </w:p>
    <w:p w14:paraId="4574E106" w14:textId="626DC09D" w:rsidR="00BE4ECC" w:rsidRPr="00CA1C66" w:rsidRDefault="00BE4ECC" w:rsidP="00BE4ECC">
      <w:pPr>
        <w:pStyle w:val="Bullet1"/>
        <w:rPr>
          <w:b/>
          <w:bCs/>
          <w:color w:val="68478D" w:themeColor="accent4"/>
        </w:rPr>
      </w:pPr>
      <w:r w:rsidRPr="00CA1C66">
        <w:rPr>
          <w:b/>
          <w:bCs/>
          <w:color w:val="68478D" w:themeColor="accent4"/>
        </w:rPr>
        <w:t>Improved industry compliance</w:t>
      </w:r>
    </w:p>
    <w:p w14:paraId="2FE98B08" w14:textId="77777777" w:rsidR="00BE4ECC" w:rsidRPr="00BE4ECC" w:rsidRDefault="00BE4ECC" w:rsidP="00BE4ECC">
      <w:r w:rsidRPr="00BE4ECC">
        <w:t>Over the three-year period 2020–23 we will take the following actions to support this strategic priority. We will:</w:t>
      </w:r>
    </w:p>
    <w:p w14:paraId="2D87824E" w14:textId="77777777" w:rsidR="00BE4ECC" w:rsidRPr="00BE4ECC" w:rsidRDefault="00BE4ECC" w:rsidP="00BE4ECC">
      <w:pPr>
        <w:pStyle w:val="Numberlist"/>
        <w:numPr>
          <w:ilvl w:val="0"/>
          <w:numId w:val="36"/>
        </w:numPr>
        <w:ind w:left="426"/>
      </w:pPr>
      <w:r w:rsidRPr="00BE4ECC">
        <w:t>Develop tools for industry to assist them to comply with regulatory requirements</w:t>
      </w:r>
    </w:p>
    <w:p w14:paraId="429EC05B" w14:textId="77777777" w:rsidR="00BE4ECC" w:rsidRPr="00BE4ECC" w:rsidRDefault="00BE4ECC" w:rsidP="00BE4ECC">
      <w:pPr>
        <w:pStyle w:val="Numberlist"/>
        <w:numPr>
          <w:ilvl w:val="0"/>
          <w:numId w:val="36"/>
        </w:numPr>
        <w:ind w:left="426"/>
      </w:pPr>
      <w:r w:rsidRPr="00BE4ECC">
        <w:t xml:space="preserve">Strengthen our intelligence capability to identify and target risk </w:t>
      </w:r>
    </w:p>
    <w:p w14:paraId="5F462A9D" w14:textId="77777777" w:rsidR="00BE4ECC" w:rsidRPr="00BE4ECC" w:rsidRDefault="00BE4ECC" w:rsidP="00BE4ECC">
      <w:pPr>
        <w:pStyle w:val="Numberlist"/>
        <w:numPr>
          <w:ilvl w:val="0"/>
          <w:numId w:val="36"/>
        </w:numPr>
        <w:ind w:left="426"/>
      </w:pPr>
      <w:r w:rsidRPr="00BE4ECC">
        <w:t>Continually evaluate our risk-based frameworks and practice to achieve regulatory outcomes</w:t>
      </w:r>
    </w:p>
    <w:p w14:paraId="094F96D7" w14:textId="21DDB4C9" w:rsidR="00BE4ECC" w:rsidRPr="00BE4ECC" w:rsidRDefault="00BE4ECC" w:rsidP="00BE4ECC">
      <w:pPr>
        <w:pStyle w:val="Numberlist"/>
        <w:numPr>
          <w:ilvl w:val="0"/>
          <w:numId w:val="36"/>
        </w:numPr>
        <w:ind w:left="426"/>
      </w:pPr>
      <w:r w:rsidRPr="00BE4ECC">
        <w:t>Engage with industry to better anticipate and understand new and emerging trends, products and services.</w:t>
      </w:r>
    </w:p>
    <w:p w14:paraId="54FB448D" w14:textId="77777777" w:rsidR="00BE4ECC" w:rsidRPr="00612327" w:rsidRDefault="00BE4ECC" w:rsidP="00BE4ECC">
      <w:pPr>
        <w:pStyle w:val="Heading2"/>
        <w:rPr>
          <w:color w:val="2459A9" w:themeColor="text1"/>
        </w:rPr>
      </w:pPr>
      <w:bookmarkStart w:id="17" w:name="_Toc50640848"/>
      <w:r w:rsidRPr="00612327">
        <w:rPr>
          <w:color w:val="2459A9" w:themeColor="text1"/>
        </w:rPr>
        <w:t>Enhance the user experience</w:t>
      </w:r>
      <w:bookmarkEnd w:id="17"/>
    </w:p>
    <w:p w14:paraId="6EB0BB19" w14:textId="77777777" w:rsidR="00BE4ECC" w:rsidRPr="00BE4ECC" w:rsidRDefault="00BE4ECC" w:rsidP="00BE4ECC">
      <w:r w:rsidRPr="00BE4ECC">
        <w:t>We aim to provide a consistent and helpful experience across our engagement, information or service delivery channels. Information provided through various platforms is concise and easy to understand. Our website and online portals are easy to navigate and tailored to the needs of the types of users. All interaction with us is professional and we will clearly communicate the actions we will take.</w:t>
      </w:r>
    </w:p>
    <w:p w14:paraId="72F9F62D" w14:textId="2672BFAE" w:rsidR="00BE4ECC" w:rsidRPr="00CA1C66" w:rsidRDefault="00BE4ECC" w:rsidP="00BE4ECC">
      <w:pPr>
        <w:rPr>
          <w:b/>
          <w:bCs/>
          <w:color w:val="2459A9" w:themeColor="text1"/>
        </w:rPr>
      </w:pPr>
      <w:r w:rsidRPr="00CA1C66">
        <w:rPr>
          <w:b/>
          <w:bCs/>
          <w:color w:val="2459A9" w:themeColor="text1"/>
        </w:rPr>
        <w:t>This strategic priority will make a strong contribution to the achievement of the following outcome:</w:t>
      </w:r>
    </w:p>
    <w:p w14:paraId="7A661BF3" w14:textId="77777777" w:rsidR="00BE4ECC" w:rsidRPr="00CA1C66" w:rsidRDefault="00BE4ECC" w:rsidP="00BE4ECC">
      <w:pPr>
        <w:pStyle w:val="Bullet1"/>
        <w:rPr>
          <w:b/>
          <w:bCs/>
          <w:color w:val="2459A9" w:themeColor="text1"/>
        </w:rPr>
      </w:pPr>
      <w:r w:rsidRPr="00CA1C66">
        <w:rPr>
          <w:b/>
          <w:bCs/>
          <w:color w:val="2459A9" w:themeColor="text1"/>
        </w:rPr>
        <w:t>High levels of confidence in VCGLR</w:t>
      </w:r>
    </w:p>
    <w:p w14:paraId="3A4B2001" w14:textId="77777777" w:rsidR="00BE4ECC" w:rsidRPr="00CA1C66" w:rsidRDefault="00BE4ECC" w:rsidP="00BE4ECC">
      <w:pPr>
        <w:pStyle w:val="Bullet1"/>
        <w:rPr>
          <w:b/>
          <w:bCs/>
          <w:color w:val="2459A9" w:themeColor="text1"/>
        </w:rPr>
      </w:pPr>
      <w:r w:rsidRPr="00CA1C66">
        <w:rPr>
          <w:b/>
          <w:bCs/>
          <w:color w:val="2459A9" w:themeColor="text1"/>
        </w:rPr>
        <w:t>Improved industry compliance</w:t>
      </w:r>
    </w:p>
    <w:p w14:paraId="0D06ADC3" w14:textId="6F17A166" w:rsidR="00BE4ECC" w:rsidRPr="00CA1C66" w:rsidRDefault="00BE4ECC" w:rsidP="00BE4ECC">
      <w:pPr>
        <w:pStyle w:val="Bullet1"/>
        <w:rPr>
          <w:b/>
          <w:bCs/>
          <w:color w:val="2459A9" w:themeColor="text1"/>
        </w:rPr>
      </w:pPr>
      <w:r w:rsidRPr="00CA1C66">
        <w:rPr>
          <w:b/>
          <w:bCs/>
          <w:color w:val="2459A9" w:themeColor="text1"/>
        </w:rPr>
        <w:t>VCGLR is easy to access</w:t>
      </w:r>
    </w:p>
    <w:p w14:paraId="5444D919" w14:textId="77777777" w:rsidR="00BE4ECC" w:rsidRPr="00BE4ECC" w:rsidRDefault="00BE4ECC" w:rsidP="00BE4ECC">
      <w:r w:rsidRPr="00BE4ECC">
        <w:t xml:space="preserve">Over the three-year period </w:t>
      </w:r>
      <w:r w:rsidRPr="00BE4ECC">
        <w:rPr>
          <w:b/>
          <w:bCs/>
        </w:rPr>
        <w:t>2020–23</w:t>
      </w:r>
      <w:r w:rsidRPr="00BE4ECC">
        <w:t xml:space="preserve"> we will take the following </w:t>
      </w:r>
      <w:r w:rsidRPr="00BE4ECC">
        <w:rPr>
          <w:b/>
          <w:bCs/>
        </w:rPr>
        <w:t>actions</w:t>
      </w:r>
      <w:r w:rsidRPr="00BE4ECC">
        <w:t xml:space="preserve"> to support this strategic priority. We will:</w:t>
      </w:r>
    </w:p>
    <w:p w14:paraId="704963F4" w14:textId="77777777" w:rsidR="00BE4ECC" w:rsidRPr="00BE4ECC" w:rsidRDefault="00BE4ECC" w:rsidP="00BE4ECC">
      <w:pPr>
        <w:pStyle w:val="Numberlist"/>
        <w:numPr>
          <w:ilvl w:val="0"/>
          <w:numId w:val="37"/>
        </w:numPr>
        <w:ind w:left="426" w:hanging="426"/>
      </w:pPr>
      <w:r w:rsidRPr="00BE4ECC">
        <w:t xml:space="preserve">Simplify and enhance the quality of our online information and resources </w:t>
      </w:r>
    </w:p>
    <w:p w14:paraId="4A8C799B" w14:textId="77777777" w:rsidR="00BE4ECC" w:rsidRPr="00BE4ECC" w:rsidRDefault="00BE4ECC" w:rsidP="00BE4ECC">
      <w:pPr>
        <w:pStyle w:val="Numberlist"/>
        <w:numPr>
          <w:ilvl w:val="0"/>
          <w:numId w:val="37"/>
        </w:numPr>
        <w:ind w:left="426" w:hanging="426"/>
      </w:pPr>
      <w:r w:rsidRPr="00BE4ECC">
        <w:t xml:space="preserve">Modernise communication tools and content </w:t>
      </w:r>
    </w:p>
    <w:p w14:paraId="067FA67E" w14:textId="612D1054" w:rsidR="00BE4ECC" w:rsidRDefault="00BE4ECC" w:rsidP="00BE4ECC">
      <w:pPr>
        <w:pStyle w:val="Numberlist"/>
        <w:numPr>
          <w:ilvl w:val="0"/>
          <w:numId w:val="37"/>
        </w:numPr>
        <w:ind w:left="426" w:hanging="426"/>
      </w:pPr>
      <w:r w:rsidRPr="00BE4ECC">
        <w:t>Design and implement services to meet stakeholder needs.</w:t>
      </w:r>
    </w:p>
    <w:p w14:paraId="18D843F4" w14:textId="3BB3AE86" w:rsidR="00BE4ECC" w:rsidRDefault="00BE4ECC" w:rsidP="00BE4ECC">
      <w:pPr>
        <w:rPr>
          <w:lang w:val="en-AU"/>
        </w:rPr>
      </w:pPr>
    </w:p>
    <w:p w14:paraId="31FD9F1D" w14:textId="77777777" w:rsidR="00BE4ECC" w:rsidRPr="00612327" w:rsidRDefault="00BE4ECC" w:rsidP="00BE4ECC">
      <w:pPr>
        <w:pStyle w:val="Heading2"/>
        <w:rPr>
          <w:color w:val="007481" w:themeColor="accent5"/>
        </w:rPr>
      </w:pPr>
      <w:bookmarkStart w:id="18" w:name="_Toc50640849"/>
      <w:r w:rsidRPr="00612327">
        <w:rPr>
          <w:color w:val="007481" w:themeColor="accent5"/>
        </w:rPr>
        <w:t>Build and maintain a sustainable organisation</w:t>
      </w:r>
      <w:bookmarkEnd w:id="18"/>
    </w:p>
    <w:p w14:paraId="62E60C86" w14:textId="77777777" w:rsidR="00BE4ECC" w:rsidRPr="00BE4ECC" w:rsidRDefault="00BE4ECC" w:rsidP="00BE4ECC">
      <w:pPr>
        <w:rPr>
          <w:lang w:val="en-AU"/>
        </w:rPr>
      </w:pPr>
      <w:r w:rsidRPr="00BE4ECC">
        <w:rPr>
          <w:lang w:val="en-AU"/>
        </w:rPr>
        <w:t>The ability to engage and retain our employees is critical to achieving our legislative objectives. Employees who are engaged are more productive, more passionate and more inspired to innovate and deliver above and beyond standard performance.</w:t>
      </w:r>
    </w:p>
    <w:p w14:paraId="2E7B5802" w14:textId="77777777" w:rsidR="00BE4ECC" w:rsidRPr="00BE4ECC" w:rsidRDefault="00BE4ECC" w:rsidP="00BE4ECC">
      <w:pPr>
        <w:rPr>
          <w:lang w:val="en-AU"/>
        </w:rPr>
      </w:pPr>
      <w:r w:rsidRPr="00BE4ECC">
        <w:rPr>
          <w:lang w:val="en-AU"/>
        </w:rPr>
        <w:lastRenderedPageBreak/>
        <w:t>Building a diverse and more inclusive workplace enables greater breadth of views and experience, more informed decision-making, and better regulatory outcomes. Developing our employees’ capabilities enables them to deliver our functions to a high standard and supports continuous improvement to enhance our performance.</w:t>
      </w:r>
    </w:p>
    <w:p w14:paraId="4CEC0AB6" w14:textId="77777777" w:rsidR="00BE4ECC" w:rsidRPr="00BE4ECC" w:rsidRDefault="00BE4ECC" w:rsidP="00BE4ECC">
      <w:pPr>
        <w:rPr>
          <w:lang w:val="en-AU"/>
        </w:rPr>
      </w:pPr>
      <w:r w:rsidRPr="00BE4ECC">
        <w:rPr>
          <w:lang w:val="en-AU"/>
        </w:rPr>
        <w:t>Effectively monitoring and evaluating our performance helps ensure that our actions and outcomes are in alignment with our broader strategic priorities and legislative objectives.</w:t>
      </w:r>
    </w:p>
    <w:p w14:paraId="1BAE57A1" w14:textId="77777777" w:rsidR="00BE4ECC" w:rsidRPr="00CA1C66" w:rsidRDefault="00BE4ECC" w:rsidP="00BE4ECC">
      <w:pPr>
        <w:rPr>
          <w:b/>
          <w:bCs/>
          <w:color w:val="007481" w:themeColor="accent5"/>
          <w:lang w:val="en-AU"/>
        </w:rPr>
      </w:pPr>
      <w:r w:rsidRPr="00CA1C66">
        <w:rPr>
          <w:b/>
          <w:bCs/>
          <w:color w:val="007481" w:themeColor="accent5"/>
          <w:lang w:val="en-AU"/>
        </w:rPr>
        <w:t>This strategic priority will make a strong contribution to the achievement of the following outcome:</w:t>
      </w:r>
    </w:p>
    <w:p w14:paraId="1663B49F" w14:textId="0A648C0A" w:rsidR="00BE4ECC" w:rsidRPr="00CA1C66" w:rsidRDefault="00BE4ECC" w:rsidP="00BE4ECC">
      <w:pPr>
        <w:pStyle w:val="Bullet1"/>
        <w:rPr>
          <w:b/>
          <w:bCs/>
          <w:color w:val="007481" w:themeColor="accent5"/>
        </w:rPr>
      </w:pPr>
      <w:r w:rsidRPr="00CA1C66">
        <w:rPr>
          <w:b/>
          <w:bCs/>
          <w:color w:val="007481" w:themeColor="accent5"/>
        </w:rPr>
        <w:t>VCGLR is a sustainable organisation</w:t>
      </w:r>
    </w:p>
    <w:p w14:paraId="0A14FCB3" w14:textId="77777777" w:rsidR="00BE4ECC" w:rsidRPr="00BE4ECC" w:rsidRDefault="00BE4ECC" w:rsidP="00BE4ECC">
      <w:pPr>
        <w:rPr>
          <w:lang w:val="en-AU"/>
        </w:rPr>
      </w:pPr>
      <w:r w:rsidRPr="00BE4ECC">
        <w:rPr>
          <w:lang w:val="en-AU"/>
        </w:rPr>
        <w:t>Over the three-year period 2020–23 we will take the following actions to support this strategic priority. We will:</w:t>
      </w:r>
    </w:p>
    <w:p w14:paraId="622F16B3" w14:textId="77777777" w:rsidR="00BE4ECC" w:rsidRPr="00BE4ECC" w:rsidRDefault="00BE4ECC" w:rsidP="00BE4ECC">
      <w:pPr>
        <w:pStyle w:val="Numberlist"/>
        <w:numPr>
          <w:ilvl w:val="0"/>
          <w:numId w:val="38"/>
        </w:numPr>
        <w:ind w:left="426" w:hanging="426"/>
      </w:pPr>
      <w:r w:rsidRPr="00BE4ECC">
        <w:t>Implement the workforce strategy with a focus on:</w:t>
      </w:r>
    </w:p>
    <w:p w14:paraId="4386A94B" w14:textId="77777777" w:rsidR="00BE4ECC" w:rsidRPr="00BE4ECC" w:rsidRDefault="00BE4ECC" w:rsidP="00BE4ECC">
      <w:pPr>
        <w:pStyle w:val="Bullet2"/>
      </w:pPr>
      <w:r w:rsidRPr="00BE4ECC">
        <w:t>developing leadership at all levels</w:t>
      </w:r>
    </w:p>
    <w:p w14:paraId="20197B0A" w14:textId="77777777" w:rsidR="00BE4ECC" w:rsidRPr="00BE4ECC" w:rsidRDefault="00BE4ECC" w:rsidP="00BE4ECC">
      <w:pPr>
        <w:pStyle w:val="Bullet2"/>
      </w:pPr>
      <w:r w:rsidRPr="00BE4ECC">
        <w:t>building a highly capable and agile workforce</w:t>
      </w:r>
    </w:p>
    <w:p w14:paraId="0C91EB7A" w14:textId="77777777" w:rsidR="00BE4ECC" w:rsidRPr="00BE4ECC" w:rsidRDefault="00BE4ECC" w:rsidP="00BE4ECC">
      <w:pPr>
        <w:pStyle w:val="Bullet2"/>
      </w:pPr>
      <w:r w:rsidRPr="00BE4ECC">
        <w:t>evolving and integrating organisational structures, and</w:t>
      </w:r>
    </w:p>
    <w:p w14:paraId="55036DAD" w14:textId="77777777" w:rsidR="00BE4ECC" w:rsidRPr="00BE4ECC" w:rsidRDefault="00BE4ECC" w:rsidP="00BE4ECC">
      <w:pPr>
        <w:pStyle w:val="Bullet2"/>
      </w:pPr>
      <w:r w:rsidRPr="00BE4ECC">
        <w:t>embedding a values-based culture.</w:t>
      </w:r>
    </w:p>
    <w:p w14:paraId="7F937530" w14:textId="77777777" w:rsidR="00BE4ECC" w:rsidRPr="00BE4ECC" w:rsidRDefault="00BE4ECC" w:rsidP="00BE4ECC">
      <w:pPr>
        <w:pStyle w:val="Numberlist"/>
        <w:numPr>
          <w:ilvl w:val="0"/>
          <w:numId w:val="38"/>
        </w:numPr>
        <w:ind w:left="426" w:hanging="426"/>
      </w:pPr>
      <w:r w:rsidRPr="00BE4ECC">
        <w:t>Participate in government budget processes to secure an appropriate level of funding to enable us to implement the Government’s policy in regulating the gambling and liquor industries and deliver our legislative and regulatory obligations</w:t>
      </w:r>
    </w:p>
    <w:p w14:paraId="5703AF7E" w14:textId="77777777" w:rsidR="00BE4ECC" w:rsidRPr="00BE4ECC" w:rsidRDefault="00BE4ECC" w:rsidP="00BE4ECC">
      <w:pPr>
        <w:pStyle w:val="Numberlist"/>
        <w:numPr>
          <w:ilvl w:val="0"/>
          <w:numId w:val="38"/>
        </w:numPr>
        <w:ind w:left="426" w:hanging="426"/>
      </w:pPr>
      <w:r w:rsidRPr="00BE4ECC">
        <w:t>Implement ICT Strategy 2019–2023 to deliver contemporary and value for money capability including:</w:t>
      </w:r>
    </w:p>
    <w:p w14:paraId="437054C2" w14:textId="77777777" w:rsidR="00BE4ECC" w:rsidRPr="00BE4ECC" w:rsidRDefault="00BE4ECC" w:rsidP="00BE4ECC">
      <w:pPr>
        <w:pStyle w:val="Bullet2"/>
      </w:pPr>
      <w:r w:rsidRPr="00BE4ECC">
        <w:t>application modernisation and consolidation</w:t>
      </w:r>
    </w:p>
    <w:p w14:paraId="4770641A" w14:textId="77777777" w:rsidR="00BE4ECC" w:rsidRPr="00BE4ECC" w:rsidRDefault="00BE4ECC" w:rsidP="00BE4ECC">
      <w:pPr>
        <w:pStyle w:val="Bullet2"/>
      </w:pPr>
      <w:r w:rsidRPr="00BE4ECC">
        <w:t>business intelligence</w:t>
      </w:r>
    </w:p>
    <w:p w14:paraId="3DBD1A2E" w14:textId="77777777" w:rsidR="00BE4ECC" w:rsidRPr="00BE4ECC" w:rsidRDefault="00BE4ECC" w:rsidP="00BE4ECC">
      <w:pPr>
        <w:pStyle w:val="Bullet2"/>
      </w:pPr>
      <w:r w:rsidRPr="00BE4ECC">
        <w:t xml:space="preserve">mobility </w:t>
      </w:r>
    </w:p>
    <w:p w14:paraId="773B1E12" w14:textId="35182765" w:rsidR="00BE4ECC" w:rsidRDefault="00BE4ECC" w:rsidP="00BE4ECC">
      <w:pPr>
        <w:pStyle w:val="Bullet2"/>
      </w:pPr>
      <w:r w:rsidRPr="00BE4ECC">
        <w:t>cloud services.</w:t>
      </w:r>
    </w:p>
    <w:p w14:paraId="60A6CA86" w14:textId="77777777" w:rsidR="00BE4ECC" w:rsidRDefault="00BE4ECC">
      <w:pPr>
        <w:spacing w:after="0"/>
        <w:rPr>
          <w:rFonts w:asciiTheme="majorHAnsi" w:eastAsiaTheme="majorEastAsia" w:hAnsiTheme="majorHAnsi" w:cs="Times New Roman (Headings CS)"/>
          <w:b/>
          <w:color w:val="2459A9" w:themeColor="text1"/>
          <w:sz w:val="48"/>
          <w:szCs w:val="32"/>
        </w:rPr>
      </w:pPr>
      <w:r>
        <w:br w:type="page"/>
      </w:r>
    </w:p>
    <w:p w14:paraId="7AAC1AF0" w14:textId="79B4547D" w:rsidR="00BE4ECC" w:rsidRDefault="00BE4ECC" w:rsidP="00BE4ECC">
      <w:pPr>
        <w:pStyle w:val="Heading1"/>
      </w:pPr>
      <w:bookmarkStart w:id="19" w:name="_Toc50640850"/>
      <w:r>
        <w:lastRenderedPageBreak/>
        <w:t>Our operations</w:t>
      </w:r>
      <w:bookmarkEnd w:id="19"/>
    </w:p>
    <w:p w14:paraId="5E0930D0" w14:textId="62E094CA" w:rsidR="00BE4ECC" w:rsidRDefault="00BE4ECC" w:rsidP="00BE4ECC">
      <w:pPr>
        <w:rPr>
          <w:lang w:val="en-US"/>
        </w:rPr>
      </w:pPr>
      <w:r w:rsidRPr="00BE4ECC">
        <w:rPr>
          <w:lang w:val="en-US"/>
        </w:rPr>
        <w:t>We receive an appropriation from the Department of Justice and Community Safety (DJCS) as part of the government’s annual budget process. Each year we review our resourcing and the activities we are required to deliver under our legislative obligations. As part of this budget process the government also sets service delivery output targets which are detailed below.</w:t>
      </w:r>
    </w:p>
    <w:p w14:paraId="5CB8E338" w14:textId="6E941C56" w:rsidR="00BE4ECC" w:rsidRDefault="00BE4ECC" w:rsidP="00BE4ECC">
      <w:pPr>
        <w:pStyle w:val="Heading2"/>
        <w:rPr>
          <w:lang w:val="en-US"/>
        </w:rPr>
      </w:pPr>
      <w:bookmarkStart w:id="20" w:name="_Toc50640851"/>
      <w:r>
        <w:rPr>
          <w:lang w:val="en-US"/>
        </w:rPr>
        <w:t>Inputs</w:t>
      </w:r>
      <w:bookmarkEnd w:id="20"/>
    </w:p>
    <w:p w14:paraId="18C6CD20" w14:textId="77777777" w:rsidR="00BE4ECC" w:rsidRPr="00BE4ECC" w:rsidRDefault="00BE4ECC" w:rsidP="00BE4ECC">
      <w:pPr>
        <w:rPr>
          <w:lang w:val="en-US"/>
        </w:rPr>
      </w:pPr>
      <w:r w:rsidRPr="00BE4ECC">
        <w:rPr>
          <w:lang w:val="en-US"/>
        </w:rPr>
        <w:t>Operating budget – an annual operating budget is provided by DJCS. This recurring amount is amended by government budget decisions and savings requirements annually.</w:t>
      </w:r>
    </w:p>
    <w:p w14:paraId="1DB813FA" w14:textId="77777777" w:rsidR="00BE4ECC" w:rsidRPr="00BE4ECC" w:rsidRDefault="00BE4ECC" w:rsidP="00BE4ECC">
      <w:pPr>
        <w:rPr>
          <w:lang w:val="en-US"/>
        </w:rPr>
      </w:pPr>
      <w:r w:rsidRPr="00BE4ECC">
        <w:rPr>
          <w:lang w:val="en-US"/>
        </w:rPr>
        <w:t>Capital budget – an annual allowance for capital investment in assets and infrastructure is provided by the DJCS. This is a fixed amount that may be amended by application for additional funds via approved business cases through the department or State Budget processes.</w:t>
      </w:r>
    </w:p>
    <w:p w14:paraId="430FFA51" w14:textId="59296A9D" w:rsidR="00BE4ECC" w:rsidRDefault="00BE4ECC" w:rsidP="00BE4ECC">
      <w:pPr>
        <w:rPr>
          <w:lang w:val="en-US"/>
        </w:rPr>
      </w:pPr>
      <w:r w:rsidRPr="00BE4ECC">
        <w:rPr>
          <w:lang w:val="en-US"/>
        </w:rPr>
        <w:t>Staffing – we are responsible for the management of all resources we have at our disposal within the constraints of our operating budget.</w:t>
      </w:r>
    </w:p>
    <w:p w14:paraId="24EBEF8A" w14:textId="2B95BB32" w:rsidR="00BE4ECC" w:rsidRDefault="00BE4ECC" w:rsidP="00BE4ECC">
      <w:pPr>
        <w:pStyle w:val="Heading2"/>
        <w:rPr>
          <w:lang w:val="en-US"/>
        </w:rPr>
      </w:pPr>
      <w:bookmarkStart w:id="21" w:name="_Toc50640852"/>
      <w:r>
        <w:rPr>
          <w:lang w:val="en-US"/>
        </w:rPr>
        <w:t>Activities</w:t>
      </w:r>
      <w:bookmarkEnd w:id="21"/>
    </w:p>
    <w:p w14:paraId="0B29D9CA" w14:textId="77777777" w:rsidR="00BE4ECC" w:rsidRPr="00BE4ECC" w:rsidRDefault="00BE4ECC" w:rsidP="00612327">
      <w:pPr>
        <w:pStyle w:val="Bullet1"/>
      </w:pPr>
      <w:r w:rsidRPr="00BE4ECC">
        <w:t xml:space="preserve">License people, products and premises. </w:t>
      </w:r>
    </w:p>
    <w:p w14:paraId="5F94CDDB" w14:textId="77777777" w:rsidR="00BE4ECC" w:rsidRPr="00BE4ECC" w:rsidRDefault="00BE4ECC" w:rsidP="00612327">
      <w:pPr>
        <w:pStyle w:val="Bullet1"/>
      </w:pPr>
      <w:r w:rsidRPr="00BE4ECC">
        <w:t>Client services – enquiries answered via information line, email and front counter service.</w:t>
      </w:r>
    </w:p>
    <w:p w14:paraId="6AAA4297" w14:textId="77777777" w:rsidR="00BE4ECC" w:rsidRPr="00BE4ECC" w:rsidRDefault="00BE4ECC" w:rsidP="00612327">
      <w:pPr>
        <w:pStyle w:val="Bullet1"/>
      </w:pPr>
      <w:r w:rsidRPr="00BE4ECC">
        <w:t>Inspect, monitor and audit licensed premises, casino management, approved systems, licensed entities and agents, tax revenue collection.</w:t>
      </w:r>
    </w:p>
    <w:p w14:paraId="20C99A9C" w14:textId="77777777" w:rsidR="00BE4ECC" w:rsidRPr="00BE4ECC" w:rsidRDefault="00BE4ECC" w:rsidP="00612327">
      <w:pPr>
        <w:pStyle w:val="Bullet1"/>
      </w:pPr>
      <w:r w:rsidRPr="00BE4ECC">
        <w:t>Audit compliance with laws, regulations, licence conditions and system approvals.</w:t>
      </w:r>
    </w:p>
    <w:p w14:paraId="713D20E5" w14:textId="77777777" w:rsidR="00BE4ECC" w:rsidRPr="00BE4ECC" w:rsidRDefault="00BE4ECC" w:rsidP="00612327">
      <w:pPr>
        <w:pStyle w:val="Bullet1"/>
      </w:pPr>
      <w:r w:rsidRPr="00BE4ECC">
        <w:t>Take enforcement and disciplinary action.</w:t>
      </w:r>
    </w:p>
    <w:p w14:paraId="5123E34E" w14:textId="77777777" w:rsidR="00BE4ECC" w:rsidRPr="00BE4ECC" w:rsidRDefault="00BE4ECC" w:rsidP="00612327">
      <w:pPr>
        <w:pStyle w:val="Bullet1"/>
      </w:pPr>
      <w:r w:rsidRPr="00BE4ECC">
        <w:t>Administer taxation revenue.</w:t>
      </w:r>
    </w:p>
    <w:p w14:paraId="68D419C0" w14:textId="77777777" w:rsidR="00BE4ECC" w:rsidRPr="00BE4ECC" w:rsidRDefault="00BE4ECC" w:rsidP="00612327">
      <w:pPr>
        <w:pStyle w:val="Bullet1"/>
      </w:pPr>
      <w:r w:rsidRPr="00BE4ECC">
        <w:t>Conduct investigations.</w:t>
      </w:r>
    </w:p>
    <w:p w14:paraId="2BECC29A" w14:textId="77777777" w:rsidR="00BE4ECC" w:rsidRPr="00BE4ECC" w:rsidRDefault="00BE4ECC" w:rsidP="00612327">
      <w:pPr>
        <w:pStyle w:val="Bullet1"/>
      </w:pPr>
      <w:r w:rsidRPr="00BE4ECC">
        <w:t>Assess risks using data and intelligence.</w:t>
      </w:r>
    </w:p>
    <w:p w14:paraId="34F25E58" w14:textId="77777777" w:rsidR="00BE4ECC" w:rsidRPr="00BE4ECC" w:rsidRDefault="00BE4ECC" w:rsidP="00612327">
      <w:pPr>
        <w:pStyle w:val="Bullet1"/>
      </w:pPr>
      <w:r w:rsidRPr="00BE4ECC">
        <w:t>Undertake co-regulatory activities.</w:t>
      </w:r>
    </w:p>
    <w:p w14:paraId="511A2BFC" w14:textId="77777777" w:rsidR="00BE4ECC" w:rsidRPr="00BE4ECC" w:rsidRDefault="00BE4ECC" w:rsidP="00612327">
      <w:pPr>
        <w:pStyle w:val="Bullet1"/>
      </w:pPr>
      <w:r w:rsidRPr="00BE4ECC">
        <w:t>Deploy educative tools and information.</w:t>
      </w:r>
    </w:p>
    <w:p w14:paraId="74165077" w14:textId="77777777" w:rsidR="00BE4ECC" w:rsidRPr="00BE4ECC" w:rsidRDefault="00BE4ECC" w:rsidP="00612327">
      <w:pPr>
        <w:pStyle w:val="Bullet1"/>
      </w:pPr>
      <w:r w:rsidRPr="00BE4ECC">
        <w:t>Provide information channels.</w:t>
      </w:r>
    </w:p>
    <w:p w14:paraId="1719D0FB" w14:textId="77777777" w:rsidR="00BE4ECC" w:rsidRPr="00BE4ECC" w:rsidRDefault="00BE4ECC" w:rsidP="00612327">
      <w:pPr>
        <w:pStyle w:val="Bullet1"/>
      </w:pPr>
      <w:r w:rsidRPr="00BE4ECC">
        <w:t>Administer industry training programs.</w:t>
      </w:r>
    </w:p>
    <w:p w14:paraId="5472E873" w14:textId="77777777" w:rsidR="00BE4ECC" w:rsidRPr="00BE4ECC" w:rsidRDefault="00BE4ECC" w:rsidP="00612327">
      <w:pPr>
        <w:pStyle w:val="Bullet1"/>
      </w:pPr>
      <w:r w:rsidRPr="00BE4ECC">
        <w:t>Deliver administrative tribunal functions – hearings, enquiries and reviews.</w:t>
      </w:r>
    </w:p>
    <w:p w14:paraId="38E879AD" w14:textId="574C779E" w:rsidR="00BE4ECC" w:rsidRDefault="00BE4ECC" w:rsidP="00612327">
      <w:pPr>
        <w:pStyle w:val="Bullet1"/>
      </w:pPr>
      <w:r w:rsidRPr="00BE4ECC">
        <w:t>Undertake Board responsibilities to set strategy and budget and manage strategic risks.</w:t>
      </w:r>
    </w:p>
    <w:p w14:paraId="1A75241A" w14:textId="77777777" w:rsidR="0060244C" w:rsidRDefault="0060244C">
      <w:pPr>
        <w:spacing w:after="0"/>
        <w:rPr>
          <w:rFonts w:asciiTheme="majorHAnsi" w:eastAsiaTheme="majorEastAsia" w:hAnsiTheme="majorHAnsi" w:cs="Times New Roman (Headings CS)"/>
          <w:b/>
          <w:color w:val="262B67" w:themeColor="text2"/>
          <w:sz w:val="36"/>
          <w:szCs w:val="26"/>
          <w:lang w:val="en-US"/>
        </w:rPr>
      </w:pPr>
      <w:r>
        <w:rPr>
          <w:lang w:val="en-US"/>
        </w:rPr>
        <w:br w:type="page"/>
      </w:r>
    </w:p>
    <w:p w14:paraId="161A2923" w14:textId="5D36CD77" w:rsidR="00BE4ECC" w:rsidRDefault="00BE4ECC" w:rsidP="006C58F9">
      <w:pPr>
        <w:pStyle w:val="Heading2"/>
        <w:rPr>
          <w:lang w:val="en-US"/>
        </w:rPr>
      </w:pPr>
      <w:bookmarkStart w:id="22" w:name="_Toc50640853"/>
      <w:r>
        <w:rPr>
          <w:lang w:val="en-US"/>
        </w:rPr>
        <w:lastRenderedPageBreak/>
        <w:t>Outputs</w:t>
      </w:r>
      <w:bookmarkEnd w:id="22"/>
    </w:p>
    <w:tbl>
      <w:tblPr>
        <w:tblStyle w:val="TableGrid"/>
        <w:tblW w:w="0" w:type="auto"/>
        <w:tblLook w:val="0420" w:firstRow="1" w:lastRow="0" w:firstColumn="0" w:lastColumn="0" w:noHBand="0" w:noVBand="1"/>
      </w:tblPr>
      <w:tblGrid>
        <w:gridCol w:w="8500"/>
        <w:gridCol w:w="1122"/>
      </w:tblGrid>
      <w:tr w:rsidR="006C58F9" w14:paraId="559CB735" w14:textId="77777777" w:rsidTr="006C58F9">
        <w:trPr>
          <w:cnfStyle w:val="100000000000" w:firstRow="1" w:lastRow="0" w:firstColumn="0" w:lastColumn="0" w:oddVBand="0" w:evenVBand="0" w:oddHBand="0" w:evenHBand="0" w:firstRowFirstColumn="0" w:firstRowLastColumn="0" w:lastRowFirstColumn="0" w:lastRowLastColumn="0"/>
        </w:trPr>
        <w:tc>
          <w:tcPr>
            <w:tcW w:w="8500" w:type="dxa"/>
          </w:tcPr>
          <w:p w14:paraId="4D6E9911" w14:textId="2094CB61" w:rsidR="006C58F9" w:rsidRDefault="006C58F9" w:rsidP="006C58F9">
            <w:pPr>
              <w:pStyle w:val="Tableheaderwhite"/>
            </w:pPr>
            <w:r>
              <w:t>Measures</w:t>
            </w:r>
          </w:p>
        </w:tc>
        <w:tc>
          <w:tcPr>
            <w:tcW w:w="1122" w:type="dxa"/>
          </w:tcPr>
          <w:p w14:paraId="26F30F3F" w14:textId="0E317D71" w:rsidR="006C58F9" w:rsidRDefault="006C58F9" w:rsidP="006C58F9">
            <w:pPr>
              <w:pStyle w:val="Tableheaderwhite"/>
              <w:jc w:val="right"/>
            </w:pPr>
            <w:r>
              <w:t>Target</w:t>
            </w:r>
          </w:p>
        </w:tc>
      </w:tr>
      <w:tr w:rsidR="006C58F9" w14:paraId="6FD4FEBD" w14:textId="77777777" w:rsidTr="006C58F9">
        <w:tc>
          <w:tcPr>
            <w:tcW w:w="8500" w:type="dxa"/>
          </w:tcPr>
          <w:p w14:paraId="782D457E" w14:textId="30D4D9BF" w:rsidR="006C58F9" w:rsidRDefault="006C58F9" w:rsidP="006C58F9">
            <w:pPr>
              <w:rPr>
                <w:lang w:val="en-US"/>
              </w:rPr>
            </w:pPr>
            <w:r>
              <w:t xml:space="preserve">Liquor and gambling applications and licensee monitoring activities </w:t>
            </w:r>
          </w:p>
        </w:tc>
        <w:tc>
          <w:tcPr>
            <w:tcW w:w="1122" w:type="dxa"/>
          </w:tcPr>
          <w:p w14:paraId="7BCFD96C" w14:textId="70B23845" w:rsidR="006C58F9" w:rsidRDefault="006C58F9" w:rsidP="006C58F9">
            <w:pPr>
              <w:jc w:val="right"/>
              <w:rPr>
                <w:lang w:val="en-US"/>
              </w:rPr>
            </w:pPr>
            <w:r>
              <w:rPr>
                <w:b/>
                <w:bCs/>
              </w:rPr>
              <w:t>60,000</w:t>
            </w:r>
          </w:p>
        </w:tc>
      </w:tr>
      <w:tr w:rsidR="006C58F9" w14:paraId="4CBF4C23" w14:textId="77777777" w:rsidTr="006C58F9">
        <w:tc>
          <w:tcPr>
            <w:tcW w:w="8500" w:type="dxa"/>
          </w:tcPr>
          <w:p w14:paraId="593D9843" w14:textId="00259EA4" w:rsidR="006C58F9" w:rsidRDefault="006C58F9" w:rsidP="006C58F9">
            <w:pPr>
              <w:rPr>
                <w:lang w:val="en-US"/>
              </w:rPr>
            </w:pPr>
            <w:r>
              <w:t xml:space="preserve">Liquor and gambling information and advice </w:t>
            </w:r>
          </w:p>
        </w:tc>
        <w:tc>
          <w:tcPr>
            <w:tcW w:w="1122" w:type="dxa"/>
          </w:tcPr>
          <w:p w14:paraId="2B072911" w14:textId="3E439886" w:rsidR="006C58F9" w:rsidRDefault="006C58F9" w:rsidP="006C58F9">
            <w:pPr>
              <w:jc w:val="right"/>
              <w:rPr>
                <w:lang w:val="en-US"/>
              </w:rPr>
            </w:pPr>
            <w:r>
              <w:rPr>
                <w:b/>
                <w:bCs/>
              </w:rPr>
              <w:t>128,000</w:t>
            </w:r>
          </w:p>
        </w:tc>
      </w:tr>
      <w:tr w:rsidR="006C58F9" w14:paraId="7E4985B7" w14:textId="77777777" w:rsidTr="006C58F9">
        <w:tc>
          <w:tcPr>
            <w:tcW w:w="8500" w:type="dxa"/>
          </w:tcPr>
          <w:p w14:paraId="61D8C82F" w14:textId="423F2732" w:rsidR="006C58F9" w:rsidRDefault="006C58F9" w:rsidP="006C58F9">
            <w:pPr>
              <w:rPr>
                <w:lang w:val="en-US"/>
              </w:rPr>
            </w:pPr>
            <w:r>
              <w:t>Liquor inspections completed by the VCGLR – metropolitan</w:t>
            </w:r>
          </w:p>
        </w:tc>
        <w:tc>
          <w:tcPr>
            <w:tcW w:w="1122" w:type="dxa"/>
          </w:tcPr>
          <w:p w14:paraId="54849B60" w14:textId="0BCF7B37" w:rsidR="006C58F9" w:rsidRDefault="006C58F9" w:rsidP="006C58F9">
            <w:pPr>
              <w:jc w:val="right"/>
              <w:rPr>
                <w:lang w:val="en-US"/>
              </w:rPr>
            </w:pPr>
            <w:r>
              <w:rPr>
                <w:b/>
                <w:bCs/>
              </w:rPr>
              <w:t>5,400</w:t>
            </w:r>
          </w:p>
        </w:tc>
      </w:tr>
      <w:tr w:rsidR="006C58F9" w14:paraId="76C59DB1" w14:textId="77777777" w:rsidTr="006C58F9">
        <w:tc>
          <w:tcPr>
            <w:tcW w:w="8500" w:type="dxa"/>
          </w:tcPr>
          <w:p w14:paraId="659BC77F" w14:textId="31B69C7C" w:rsidR="006C58F9" w:rsidRDefault="006C58F9" w:rsidP="006C58F9">
            <w:pPr>
              <w:rPr>
                <w:lang w:val="en-US"/>
              </w:rPr>
            </w:pPr>
            <w:r>
              <w:t>Gambling inspections completed by the VCGLR – metropolitan</w:t>
            </w:r>
          </w:p>
        </w:tc>
        <w:tc>
          <w:tcPr>
            <w:tcW w:w="1122" w:type="dxa"/>
          </w:tcPr>
          <w:p w14:paraId="24414375" w14:textId="459E2108" w:rsidR="006C58F9" w:rsidRDefault="006C58F9" w:rsidP="006C58F9">
            <w:pPr>
              <w:jc w:val="right"/>
              <w:rPr>
                <w:lang w:val="en-US"/>
              </w:rPr>
            </w:pPr>
            <w:r>
              <w:rPr>
                <w:b/>
                <w:bCs/>
              </w:rPr>
              <w:t>1,350</w:t>
            </w:r>
          </w:p>
        </w:tc>
      </w:tr>
      <w:tr w:rsidR="006C58F9" w14:paraId="4361DF5E" w14:textId="77777777" w:rsidTr="006C58F9">
        <w:tc>
          <w:tcPr>
            <w:tcW w:w="8500" w:type="dxa"/>
          </w:tcPr>
          <w:p w14:paraId="163F865D" w14:textId="5E65FD88" w:rsidR="006C58F9" w:rsidRDefault="006C58F9" w:rsidP="006C58F9">
            <w:pPr>
              <w:rPr>
                <w:lang w:val="en-US"/>
              </w:rPr>
            </w:pPr>
            <w:r>
              <w:t>Liquor inspections completed by the VCGLR – regional</w:t>
            </w:r>
          </w:p>
        </w:tc>
        <w:tc>
          <w:tcPr>
            <w:tcW w:w="1122" w:type="dxa"/>
          </w:tcPr>
          <w:p w14:paraId="1E126964" w14:textId="09BC2B24" w:rsidR="006C58F9" w:rsidRDefault="006C58F9" w:rsidP="006C58F9">
            <w:pPr>
              <w:jc w:val="right"/>
              <w:rPr>
                <w:lang w:val="en-US"/>
              </w:rPr>
            </w:pPr>
            <w:r>
              <w:rPr>
                <w:b/>
                <w:bCs/>
              </w:rPr>
              <w:t>1,500</w:t>
            </w:r>
          </w:p>
        </w:tc>
      </w:tr>
      <w:tr w:rsidR="006C58F9" w14:paraId="74298036" w14:textId="77777777" w:rsidTr="006C58F9">
        <w:tc>
          <w:tcPr>
            <w:tcW w:w="8500" w:type="dxa"/>
          </w:tcPr>
          <w:p w14:paraId="1CC30246" w14:textId="12CFCAAA" w:rsidR="006C58F9" w:rsidRDefault="006C58F9" w:rsidP="006C58F9">
            <w:pPr>
              <w:rPr>
                <w:lang w:val="en-US"/>
              </w:rPr>
            </w:pPr>
            <w:r>
              <w:t>Gambling inspections completed by the VCGLR – regional</w:t>
            </w:r>
          </w:p>
        </w:tc>
        <w:tc>
          <w:tcPr>
            <w:tcW w:w="1122" w:type="dxa"/>
          </w:tcPr>
          <w:p w14:paraId="003B0B34" w14:textId="489E9348" w:rsidR="006C58F9" w:rsidRDefault="006C58F9" w:rsidP="006C58F9">
            <w:pPr>
              <w:jc w:val="right"/>
              <w:rPr>
                <w:lang w:val="en-US"/>
              </w:rPr>
            </w:pPr>
            <w:r>
              <w:rPr>
                <w:b/>
                <w:bCs/>
              </w:rPr>
              <w:t>250</w:t>
            </w:r>
          </w:p>
        </w:tc>
      </w:tr>
      <w:tr w:rsidR="006C58F9" w14:paraId="40E3ED63" w14:textId="77777777" w:rsidTr="006C58F9">
        <w:tc>
          <w:tcPr>
            <w:tcW w:w="8500" w:type="dxa"/>
          </w:tcPr>
          <w:p w14:paraId="77288BE8" w14:textId="0684FB7D" w:rsidR="006C58F9" w:rsidRDefault="006C58F9" w:rsidP="006C58F9">
            <w:pPr>
              <w:rPr>
                <w:lang w:val="en-US"/>
              </w:rPr>
            </w:pPr>
            <w:r>
              <w:t>Operations with co-regulators to identify licensees supplying alcohol to minors or persons who are intoxicated – metropolitan</w:t>
            </w:r>
          </w:p>
        </w:tc>
        <w:tc>
          <w:tcPr>
            <w:tcW w:w="1122" w:type="dxa"/>
          </w:tcPr>
          <w:p w14:paraId="698C27E8" w14:textId="3759D671" w:rsidR="006C58F9" w:rsidRDefault="006C58F9" w:rsidP="006C58F9">
            <w:pPr>
              <w:jc w:val="right"/>
              <w:rPr>
                <w:lang w:val="en-US"/>
              </w:rPr>
            </w:pPr>
            <w:r>
              <w:rPr>
                <w:b/>
                <w:bCs/>
              </w:rPr>
              <w:t>15</w:t>
            </w:r>
          </w:p>
        </w:tc>
      </w:tr>
      <w:tr w:rsidR="006C58F9" w14:paraId="0495035A" w14:textId="77777777" w:rsidTr="006C58F9">
        <w:tc>
          <w:tcPr>
            <w:tcW w:w="8500" w:type="dxa"/>
          </w:tcPr>
          <w:p w14:paraId="0316BD58" w14:textId="31B9D2B9" w:rsidR="006C58F9" w:rsidRDefault="006C58F9" w:rsidP="006C58F9">
            <w:pPr>
              <w:rPr>
                <w:lang w:val="en-US"/>
              </w:rPr>
            </w:pPr>
            <w:r>
              <w:t xml:space="preserve">Operations with co-regulators to identify licensees supplying alcohol to minors or persons who are intoxicated – regional </w:t>
            </w:r>
          </w:p>
        </w:tc>
        <w:tc>
          <w:tcPr>
            <w:tcW w:w="1122" w:type="dxa"/>
          </w:tcPr>
          <w:p w14:paraId="1A6A8C4C" w14:textId="40D5D09C" w:rsidR="006C58F9" w:rsidRDefault="006C58F9" w:rsidP="006C58F9">
            <w:pPr>
              <w:jc w:val="right"/>
              <w:rPr>
                <w:lang w:val="en-US"/>
              </w:rPr>
            </w:pPr>
            <w:r>
              <w:rPr>
                <w:b/>
                <w:bCs/>
              </w:rPr>
              <w:t>5</w:t>
            </w:r>
          </w:p>
        </w:tc>
      </w:tr>
      <w:tr w:rsidR="006C58F9" w14:paraId="38422377" w14:textId="77777777" w:rsidTr="006C58F9">
        <w:tc>
          <w:tcPr>
            <w:tcW w:w="8500" w:type="dxa"/>
          </w:tcPr>
          <w:p w14:paraId="63AE3F9A" w14:textId="65B0BC7F" w:rsidR="006C58F9" w:rsidRDefault="006C58F9" w:rsidP="006C58F9">
            <w:pPr>
              <w:rPr>
                <w:lang w:val="en-US"/>
              </w:rPr>
            </w:pPr>
            <w:r>
              <w:t xml:space="preserve">Operations with co-regulators, including licensees supplying alcohol or gambling activities to minors or persons who are intoxicated - metropolitan </w:t>
            </w:r>
          </w:p>
        </w:tc>
        <w:tc>
          <w:tcPr>
            <w:tcW w:w="1122" w:type="dxa"/>
          </w:tcPr>
          <w:p w14:paraId="2ECAE1B8" w14:textId="483C4D72" w:rsidR="006C58F9" w:rsidRDefault="006C58F9" w:rsidP="006C58F9">
            <w:pPr>
              <w:jc w:val="right"/>
              <w:rPr>
                <w:lang w:val="en-US"/>
              </w:rPr>
            </w:pPr>
            <w:r>
              <w:rPr>
                <w:b/>
                <w:bCs/>
              </w:rPr>
              <w:t>16</w:t>
            </w:r>
          </w:p>
        </w:tc>
      </w:tr>
      <w:tr w:rsidR="006C58F9" w14:paraId="1D87C331" w14:textId="77777777" w:rsidTr="006C58F9">
        <w:tc>
          <w:tcPr>
            <w:tcW w:w="8500" w:type="dxa"/>
          </w:tcPr>
          <w:p w14:paraId="5C575AFB" w14:textId="4C73EB2D" w:rsidR="006C58F9" w:rsidRDefault="006C58F9" w:rsidP="006C58F9">
            <w:pPr>
              <w:rPr>
                <w:lang w:val="en-US"/>
              </w:rPr>
            </w:pPr>
            <w:r>
              <w:t xml:space="preserve">Operations with co-regulators, including licensees supplying alcohol or gambling activities to minors or persons who are intoxicated - regional </w:t>
            </w:r>
          </w:p>
        </w:tc>
        <w:tc>
          <w:tcPr>
            <w:tcW w:w="1122" w:type="dxa"/>
          </w:tcPr>
          <w:p w14:paraId="1E4A255A" w14:textId="1611F23F" w:rsidR="006C58F9" w:rsidRDefault="006C58F9" w:rsidP="006C58F9">
            <w:pPr>
              <w:jc w:val="right"/>
              <w:rPr>
                <w:lang w:val="en-US"/>
              </w:rPr>
            </w:pPr>
            <w:r>
              <w:rPr>
                <w:b/>
                <w:bCs/>
              </w:rPr>
              <w:t>6</w:t>
            </w:r>
          </w:p>
        </w:tc>
      </w:tr>
      <w:tr w:rsidR="006C58F9" w14:paraId="2057FD98" w14:textId="77777777" w:rsidTr="006C58F9">
        <w:tc>
          <w:tcPr>
            <w:tcW w:w="8500" w:type="dxa"/>
          </w:tcPr>
          <w:p w14:paraId="7C57EBF0" w14:textId="498706A5" w:rsidR="006C58F9" w:rsidRDefault="006C58F9" w:rsidP="006C58F9">
            <w:pPr>
              <w:rPr>
                <w:lang w:val="en-US"/>
              </w:rPr>
            </w:pPr>
            <w:r>
              <w:t>Audits of casino operations undertaken by the VCGLR</w:t>
            </w:r>
          </w:p>
        </w:tc>
        <w:tc>
          <w:tcPr>
            <w:tcW w:w="1122" w:type="dxa"/>
          </w:tcPr>
          <w:p w14:paraId="54035EC8" w14:textId="5C16C4C7" w:rsidR="006C58F9" w:rsidRDefault="006C58F9" w:rsidP="006C58F9">
            <w:pPr>
              <w:jc w:val="right"/>
              <w:rPr>
                <w:lang w:val="en-US"/>
              </w:rPr>
            </w:pPr>
            <w:r>
              <w:rPr>
                <w:b/>
                <w:bCs/>
              </w:rPr>
              <w:t>1,260</w:t>
            </w:r>
          </w:p>
        </w:tc>
      </w:tr>
      <w:tr w:rsidR="006C58F9" w14:paraId="56FA9BDE" w14:textId="77777777" w:rsidTr="006C58F9">
        <w:tc>
          <w:tcPr>
            <w:tcW w:w="8500" w:type="dxa"/>
          </w:tcPr>
          <w:p w14:paraId="6AA86903" w14:textId="7087E227" w:rsidR="006C58F9" w:rsidRDefault="006C58F9" w:rsidP="006C58F9">
            <w:pPr>
              <w:rPr>
                <w:lang w:val="en-US"/>
              </w:rPr>
            </w:pPr>
            <w:r>
              <w:t>Liquor and gambling licensing client satisfaction</w:t>
            </w:r>
          </w:p>
        </w:tc>
        <w:tc>
          <w:tcPr>
            <w:tcW w:w="1122" w:type="dxa"/>
          </w:tcPr>
          <w:p w14:paraId="59D18C27" w14:textId="27FBE689" w:rsidR="006C58F9" w:rsidRDefault="006C58F9" w:rsidP="006C58F9">
            <w:pPr>
              <w:jc w:val="right"/>
              <w:rPr>
                <w:lang w:val="en-US"/>
              </w:rPr>
            </w:pPr>
            <w:r>
              <w:rPr>
                <w:b/>
                <w:bCs/>
              </w:rPr>
              <w:t>85%</w:t>
            </w:r>
          </w:p>
        </w:tc>
      </w:tr>
      <w:tr w:rsidR="006C58F9" w14:paraId="4DCF8727" w14:textId="77777777" w:rsidTr="006C58F9">
        <w:tc>
          <w:tcPr>
            <w:tcW w:w="8500" w:type="dxa"/>
          </w:tcPr>
          <w:p w14:paraId="673A7C79" w14:textId="05C7CCB2" w:rsidR="006C58F9" w:rsidRDefault="006C58F9" w:rsidP="006C58F9">
            <w:pPr>
              <w:rPr>
                <w:lang w:val="en-US"/>
              </w:rPr>
            </w:pPr>
            <w:r>
              <w:t xml:space="preserve">Liquor and gambling inspections conducted at high risk times </w:t>
            </w:r>
          </w:p>
        </w:tc>
        <w:tc>
          <w:tcPr>
            <w:tcW w:w="1122" w:type="dxa"/>
          </w:tcPr>
          <w:p w14:paraId="49C60C37" w14:textId="5D04819C" w:rsidR="006C58F9" w:rsidRDefault="006C58F9" w:rsidP="006C58F9">
            <w:pPr>
              <w:jc w:val="right"/>
              <w:rPr>
                <w:lang w:val="en-US"/>
              </w:rPr>
            </w:pPr>
            <w:r>
              <w:rPr>
                <w:b/>
                <w:bCs/>
              </w:rPr>
              <w:t>18%</w:t>
            </w:r>
          </w:p>
        </w:tc>
      </w:tr>
      <w:tr w:rsidR="006C58F9" w14:paraId="0EB56305" w14:textId="77777777" w:rsidTr="006C58F9">
        <w:tc>
          <w:tcPr>
            <w:tcW w:w="8500" w:type="dxa"/>
          </w:tcPr>
          <w:p w14:paraId="2D80AF99" w14:textId="10ED1950" w:rsidR="006C58F9" w:rsidRDefault="006C58F9" w:rsidP="006C58F9">
            <w:pPr>
              <w:rPr>
                <w:lang w:val="en-US"/>
              </w:rPr>
            </w:pPr>
            <w:r>
              <w:t>Proportion of high harm breaches resulting in regulatory action</w:t>
            </w:r>
          </w:p>
        </w:tc>
        <w:tc>
          <w:tcPr>
            <w:tcW w:w="1122" w:type="dxa"/>
          </w:tcPr>
          <w:p w14:paraId="3CDD3E8C" w14:textId="72F0CB28" w:rsidR="006C58F9" w:rsidRDefault="006C58F9" w:rsidP="006C58F9">
            <w:pPr>
              <w:jc w:val="right"/>
              <w:rPr>
                <w:lang w:val="en-US"/>
              </w:rPr>
            </w:pPr>
            <w:r>
              <w:rPr>
                <w:b/>
                <w:bCs/>
              </w:rPr>
              <w:t>95%</w:t>
            </w:r>
          </w:p>
        </w:tc>
      </w:tr>
      <w:tr w:rsidR="006C58F9" w14:paraId="62339F9A" w14:textId="77777777" w:rsidTr="006C58F9">
        <w:tc>
          <w:tcPr>
            <w:tcW w:w="8500" w:type="dxa"/>
          </w:tcPr>
          <w:p w14:paraId="5FA46858" w14:textId="1AAEA71C" w:rsidR="006C58F9" w:rsidRDefault="006C58F9" w:rsidP="006C58F9">
            <w:pPr>
              <w:rPr>
                <w:lang w:val="en-US"/>
              </w:rPr>
            </w:pPr>
            <w:r>
              <w:t>Calls to VCGLR client services answered within 60 seconds</w:t>
            </w:r>
          </w:p>
        </w:tc>
        <w:tc>
          <w:tcPr>
            <w:tcW w:w="1122" w:type="dxa"/>
          </w:tcPr>
          <w:p w14:paraId="4143D448" w14:textId="394D8E1A" w:rsidR="006C58F9" w:rsidRDefault="006C58F9" w:rsidP="006C58F9">
            <w:pPr>
              <w:jc w:val="right"/>
              <w:rPr>
                <w:lang w:val="en-US"/>
              </w:rPr>
            </w:pPr>
            <w:r>
              <w:rPr>
                <w:b/>
                <w:bCs/>
              </w:rPr>
              <w:t>80%</w:t>
            </w:r>
          </w:p>
        </w:tc>
      </w:tr>
      <w:tr w:rsidR="006C58F9" w14:paraId="1638A4F3" w14:textId="77777777" w:rsidTr="006C58F9">
        <w:tc>
          <w:tcPr>
            <w:tcW w:w="8500" w:type="dxa"/>
          </w:tcPr>
          <w:p w14:paraId="717EC1CA" w14:textId="6F51465F" w:rsidR="006C58F9" w:rsidRDefault="006C58F9" w:rsidP="006C58F9">
            <w:pPr>
              <w:rPr>
                <w:lang w:val="en-US"/>
              </w:rPr>
            </w:pPr>
            <w:r>
              <w:t>Liquor and gambling approvals, licence, permit applications and variations completed within set time</w:t>
            </w:r>
          </w:p>
        </w:tc>
        <w:tc>
          <w:tcPr>
            <w:tcW w:w="1122" w:type="dxa"/>
          </w:tcPr>
          <w:p w14:paraId="26DD6356" w14:textId="1C059CEE" w:rsidR="006C58F9" w:rsidRDefault="006C58F9" w:rsidP="006C58F9">
            <w:pPr>
              <w:jc w:val="right"/>
              <w:rPr>
                <w:lang w:val="en-US"/>
              </w:rPr>
            </w:pPr>
            <w:r>
              <w:rPr>
                <w:b/>
                <w:bCs/>
              </w:rPr>
              <w:t>85%</w:t>
            </w:r>
          </w:p>
        </w:tc>
      </w:tr>
    </w:tbl>
    <w:p w14:paraId="5624C956" w14:textId="77777777" w:rsidR="006C58F9" w:rsidRPr="006C58F9" w:rsidRDefault="006C58F9" w:rsidP="006C58F9">
      <w:pPr>
        <w:rPr>
          <w:lang w:val="en-US"/>
        </w:rPr>
      </w:pPr>
    </w:p>
    <w:p w14:paraId="06FDEE18" w14:textId="77777777" w:rsidR="006C58F9" w:rsidRDefault="006C58F9">
      <w:pPr>
        <w:spacing w:after="0"/>
      </w:pPr>
      <w:r>
        <w:br w:type="page"/>
      </w:r>
    </w:p>
    <w:p w14:paraId="4ED651B3" w14:textId="56A3C5A4" w:rsidR="00BE4ECC" w:rsidRDefault="006C58F9" w:rsidP="006C58F9">
      <w:pPr>
        <w:pStyle w:val="Heading1"/>
      </w:pPr>
      <w:bookmarkStart w:id="23" w:name="_Toc50640854"/>
      <w:r>
        <w:lastRenderedPageBreak/>
        <w:t>Strategic risks</w:t>
      </w:r>
      <w:bookmarkEnd w:id="23"/>
    </w:p>
    <w:p w14:paraId="7AC647BE" w14:textId="77777777" w:rsidR="006C58F9" w:rsidRDefault="006C58F9" w:rsidP="006C58F9">
      <w:r>
        <w:t>Strategic risks are those with impacts that are organisation wide, involve significant change or service delivery complexity, involve long term impacts or have major external consequences.</w:t>
      </w:r>
    </w:p>
    <w:p w14:paraId="23BB4A4C" w14:textId="77777777" w:rsidR="006C58F9" w:rsidRDefault="006C58F9" w:rsidP="006C58F9">
      <w:r>
        <w:t>The following strategic risks were identified in the context of the VCGLR and related Acts, and our legislative objectives which can be broadly summarised as:</w:t>
      </w:r>
    </w:p>
    <w:p w14:paraId="631E0C44" w14:textId="77777777" w:rsidR="006C58F9" w:rsidRDefault="006C58F9" w:rsidP="006C58F9">
      <w:pPr>
        <w:pStyle w:val="Bullet1"/>
      </w:pPr>
      <w:r>
        <w:t>harm minimisation</w:t>
      </w:r>
    </w:p>
    <w:p w14:paraId="12C9718F" w14:textId="77777777" w:rsidR="006C58F9" w:rsidRDefault="006C58F9" w:rsidP="006C58F9">
      <w:pPr>
        <w:pStyle w:val="Bullet1"/>
      </w:pPr>
      <w:r>
        <w:t>preventing criminal influence and ensuring gaming is conducted honestly</w:t>
      </w:r>
    </w:p>
    <w:p w14:paraId="55164128" w14:textId="77777777" w:rsidR="006C58F9" w:rsidRDefault="006C58F9" w:rsidP="006C58F9">
      <w:pPr>
        <w:pStyle w:val="Bullet1"/>
      </w:pPr>
      <w:r>
        <w:t>promoting community benefits and fair dealings</w:t>
      </w:r>
    </w:p>
    <w:p w14:paraId="51CE7CF0" w14:textId="77777777" w:rsidR="006C58F9" w:rsidRDefault="006C58F9" w:rsidP="006C58F9">
      <w:pPr>
        <w:pStyle w:val="Bullet1"/>
      </w:pPr>
      <w:r>
        <w:t>promoting economic development.</w:t>
      </w:r>
    </w:p>
    <w:p w14:paraId="63E203E3" w14:textId="6C3E9E6B" w:rsidR="006C58F9" w:rsidRDefault="006C58F9" w:rsidP="006C58F9">
      <w:r>
        <w:t>The strategic risks below have been considered in the context of the budget and resources and balanced against other initiatives. As in past years, priority has been given to those activities that best mitigate the organisation’s identified strategic risks.</w:t>
      </w:r>
    </w:p>
    <w:tbl>
      <w:tblPr>
        <w:tblStyle w:val="TableGrid"/>
        <w:tblW w:w="0" w:type="auto"/>
        <w:tblLook w:val="04A0" w:firstRow="1" w:lastRow="0" w:firstColumn="1" w:lastColumn="0" w:noHBand="0" w:noVBand="1"/>
      </w:tblPr>
      <w:tblGrid>
        <w:gridCol w:w="2972"/>
        <w:gridCol w:w="6650"/>
      </w:tblGrid>
      <w:tr w:rsidR="006C58F9" w14:paraId="1705C3F0" w14:textId="77777777" w:rsidTr="00612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AC3886C" w14:textId="64BED424" w:rsidR="006C58F9" w:rsidRDefault="006C58F9" w:rsidP="006C58F9">
            <w:pPr>
              <w:pStyle w:val="Tableheaderwhite"/>
            </w:pPr>
            <w:r>
              <w:t xml:space="preserve">Strategic risk </w:t>
            </w:r>
          </w:p>
        </w:tc>
        <w:tc>
          <w:tcPr>
            <w:tcW w:w="6650" w:type="dxa"/>
          </w:tcPr>
          <w:p w14:paraId="5A55575F" w14:textId="4BF683AD" w:rsidR="006C58F9" w:rsidRDefault="006C58F9" w:rsidP="006C58F9">
            <w:pPr>
              <w:pStyle w:val="Tableheaderwhite"/>
              <w:cnfStyle w:val="100000000000" w:firstRow="1" w:lastRow="0" w:firstColumn="0" w:lastColumn="0" w:oddVBand="0" w:evenVBand="0" w:oddHBand="0" w:evenHBand="0" w:firstRowFirstColumn="0" w:firstRowLastColumn="0" w:lastRowFirstColumn="0" w:lastRowLastColumn="0"/>
            </w:pPr>
            <w:r>
              <w:t>Description</w:t>
            </w:r>
          </w:p>
        </w:tc>
      </w:tr>
      <w:tr w:rsidR="006C58F9" w14:paraId="52F3B4A5" w14:textId="77777777" w:rsidTr="00612327">
        <w:tc>
          <w:tcPr>
            <w:cnfStyle w:val="001000000000" w:firstRow="0" w:lastRow="0" w:firstColumn="1" w:lastColumn="0" w:oddVBand="0" w:evenVBand="0" w:oddHBand="0" w:evenHBand="0" w:firstRowFirstColumn="0" w:firstRowLastColumn="0" w:lastRowFirstColumn="0" w:lastRowLastColumn="0"/>
            <w:tcW w:w="2972" w:type="dxa"/>
          </w:tcPr>
          <w:p w14:paraId="533A7B4B" w14:textId="6B8F2C99" w:rsidR="006C58F9" w:rsidRPr="00A71C46" w:rsidRDefault="006C58F9" w:rsidP="006C58F9">
            <w:pPr>
              <w:pStyle w:val="Tablebody"/>
              <w:rPr>
                <w:b/>
                <w:bCs/>
              </w:rPr>
            </w:pPr>
            <w:r w:rsidRPr="00A71C46">
              <w:rPr>
                <w:b/>
                <w:bCs/>
              </w:rPr>
              <w:t>The current funding model is incompatible with operational requirements</w:t>
            </w:r>
          </w:p>
        </w:tc>
        <w:tc>
          <w:tcPr>
            <w:tcW w:w="6650" w:type="dxa"/>
          </w:tcPr>
          <w:p w14:paraId="0598D36D" w14:textId="6EAEE4E9" w:rsidR="006C58F9" w:rsidRDefault="006C58F9" w:rsidP="006C58F9">
            <w:pPr>
              <w:pStyle w:val="Tablebody"/>
              <w:cnfStyle w:val="000000000000" w:firstRow="0" w:lastRow="0" w:firstColumn="0" w:lastColumn="0" w:oddVBand="0" w:evenVBand="0" w:oddHBand="0" w:evenHBand="0" w:firstRowFirstColumn="0" w:firstRowLastColumn="0" w:lastRowFirstColumn="0" w:lastRowLastColumn="0"/>
            </w:pPr>
            <w:r>
              <w:rPr>
                <w:spacing w:val="2"/>
              </w:rPr>
              <w:t>This risk relates to the current funding model requiring an ongoing and unsustainable contraction of activities. This is a core strategic risk and has implications for all of the current strategic risks. It restricts the ability of the VCGLR to achieve current goals and provides an environment where medium and long-term planning with confidence is not possible.</w:t>
            </w:r>
          </w:p>
        </w:tc>
      </w:tr>
      <w:tr w:rsidR="006C58F9" w14:paraId="2356A058" w14:textId="77777777" w:rsidTr="00612327">
        <w:tc>
          <w:tcPr>
            <w:cnfStyle w:val="001000000000" w:firstRow="0" w:lastRow="0" w:firstColumn="1" w:lastColumn="0" w:oddVBand="0" w:evenVBand="0" w:oddHBand="0" w:evenHBand="0" w:firstRowFirstColumn="0" w:firstRowLastColumn="0" w:lastRowFirstColumn="0" w:lastRowLastColumn="0"/>
            <w:tcW w:w="2972" w:type="dxa"/>
          </w:tcPr>
          <w:p w14:paraId="6A65F2AF" w14:textId="4690BE3F" w:rsidR="006C58F9" w:rsidRPr="00A71C46" w:rsidRDefault="006C58F9" w:rsidP="006C58F9">
            <w:pPr>
              <w:pStyle w:val="Tablebody"/>
              <w:rPr>
                <w:b/>
                <w:bCs/>
              </w:rPr>
            </w:pPr>
            <w:r w:rsidRPr="00A71C46">
              <w:rPr>
                <w:b/>
                <w:bCs/>
              </w:rPr>
              <w:t>The VCGLR fails to deliver on the principles and intent of its Regulatory Approach and its legislative remit</w:t>
            </w:r>
          </w:p>
        </w:tc>
        <w:tc>
          <w:tcPr>
            <w:tcW w:w="6650" w:type="dxa"/>
          </w:tcPr>
          <w:p w14:paraId="641C0E1F" w14:textId="39DF5D9D" w:rsidR="006C58F9" w:rsidRDefault="006C58F9" w:rsidP="006C58F9">
            <w:pPr>
              <w:pStyle w:val="Tablebody"/>
              <w:cnfStyle w:val="000000000000" w:firstRow="0" w:lastRow="0" w:firstColumn="0" w:lastColumn="0" w:oddVBand="0" w:evenVBand="0" w:oddHBand="0" w:evenHBand="0" w:firstRowFirstColumn="0" w:firstRowLastColumn="0" w:lastRowFirstColumn="0" w:lastRowLastColumn="0"/>
            </w:pPr>
            <w:r>
              <w:t>The nature of the risk is whether the VCGLR has developed all of the tools and rolled out all of the capability (policy, process, training and reporting) and appropriately applies the resources to enact the intent of the regulatory approach and to evaluate whether it is having the desired outcome impacts. The risk encompasses all of the activities of the Compliance and Licensing divisions and other areas that contribute to their inputs and outcomes.</w:t>
            </w:r>
          </w:p>
        </w:tc>
      </w:tr>
      <w:tr w:rsidR="006C58F9" w14:paraId="367F7386" w14:textId="77777777" w:rsidTr="00612327">
        <w:tc>
          <w:tcPr>
            <w:cnfStyle w:val="001000000000" w:firstRow="0" w:lastRow="0" w:firstColumn="1" w:lastColumn="0" w:oddVBand="0" w:evenVBand="0" w:oddHBand="0" w:evenHBand="0" w:firstRowFirstColumn="0" w:firstRowLastColumn="0" w:lastRowFirstColumn="0" w:lastRowLastColumn="0"/>
            <w:tcW w:w="2972" w:type="dxa"/>
          </w:tcPr>
          <w:p w14:paraId="4D5204B8" w14:textId="49172AFF" w:rsidR="006C58F9" w:rsidRPr="00A71C46" w:rsidRDefault="006C58F9" w:rsidP="006C58F9">
            <w:pPr>
              <w:pStyle w:val="Tablebody"/>
              <w:rPr>
                <w:b/>
                <w:bCs/>
              </w:rPr>
            </w:pPr>
            <w:r w:rsidRPr="00A71C46">
              <w:rPr>
                <w:b/>
                <w:bCs/>
              </w:rPr>
              <w:t>Stakeholders’ services and engagement fails to meet the needs of Government, industry or the community</w:t>
            </w:r>
          </w:p>
        </w:tc>
        <w:tc>
          <w:tcPr>
            <w:tcW w:w="6650" w:type="dxa"/>
          </w:tcPr>
          <w:p w14:paraId="5E8BDBE3" w14:textId="18D9661C" w:rsidR="006C58F9" w:rsidRDefault="006C58F9" w:rsidP="006C58F9">
            <w:pPr>
              <w:pStyle w:val="Tablebody"/>
              <w:cnfStyle w:val="000000000000" w:firstRow="0" w:lastRow="0" w:firstColumn="0" w:lastColumn="0" w:oddVBand="0" w:evenVBand="0" w:oddHBand="0" w:evenHBand="0" w:firstRowFirstColumn="0" w:firstRowLastColumn="0" w:lastRowFirstColumn="0" w:lastRowLastColumn="0"/>
            </w:pPr>
            <w:r>
              <w:t>The risk relates to the positive interaction of VCGLR with a wide-ranging group including government, the community, licensees and industry groups. It encompasses all of the activities of the VCGLR that engage with (or impact/influence) those outside of the VCGLR.</w:t>
            </w:r>
          </w:p>
        </w:tc>
      </w:tr>
      <w:tr w:rsidR="006C58F9" w14:paraId="45174EF4" w14:textId="77777777" w:rsidTr="00612327">
        <w:tc>
          <w:tcPr>
            <w:cnfStyle w:val="001000000000" w:firstRow="0" w:lastRow="0" w:firstColumn="1" w:lastColumn="0" w:oddVBand="0" w:evenVBand="0" w:oddHBand="0" w:evenHBand="0" w:firstRowFirstColumn="0" w:firstRowLastColumn="0" w:lastRowFirstColumn="0" w:lastRowLastColumn="0"/>
            <w:tcW w:w="2972" w:type="dxa"/>
          </w:tcPr>
          <w:p w14:paraId="527FB046" w14:textId="672F021B" w:rsidR="006C58F9" w:rsidRPr="00A71C46" w:rsidRDefault="006C58F9" w:rsidP="006C58F9">
            <w:pPr>
              <w:pStyle w:val="Tablebody"/>
              <w:rPr>
                <w:b/>
                <w:bCs/>
              </w:rPr>
            </w:pPr>
            <w:r w:rsidRPr="00A71C46">
              <w:rPr>
                <w:b/>
                <w:bCs/>
              </w:rPr>
              <w:t>Insecure information</w:t>
            </w:r>
          </w:p>
        </w:tc>
        <w:tc>
          <w:tcPr>
            <w:tcW w:w="6650" w:type="dxa"/>
          </w:tcPr>
          <w:p w14:paraId="079A4A0B" w14:textId="1170C005" w:rsidR="006C58F9" w:rsidRDefault="006C58F9" w:rsidP="006C58F9">
            <w:pPr>
              <w:pStyle w:val="Tablebody"/>
              <w:cnfStyle w:val="000000000000" w:firstRow="0" w:lastRow="0" w:firstColumn="0" w:lastColumn="0" w:oddVBand="0" w:evenVBand="0" w:oddHBand="0" w:evenHBand="0" w:firstRowFirstColumn="0" w:firstRowLastColumn="0" w:lastRowFirstColumn="0" w:lastRowLastColumn="0"/>
            </w:pPr>
            <w:r>
              <w:t>Information is inappropriately accessed, released or interfered with either internally or externally.</w:t>
            </w:r>
          </w:p>
        </w:tc>
      </w:tr>
      <w:tr w:rsidR="006C58F9" w14:paraId="605461AE" w14:textId="77777777" w:rsidTr="00612327">
        <w:tc>
          <w:tcPr>
            <w:cnfStyle w:val="001000000000" w:firstRow="0" w:lastRow="0" w:firstColumn="1" w:lastColumn="0" w:oddVBand="0" w:evenVBand="0" w:oddHBand="0" w:evenHBand="0" w:firstRowFirstColumn="0" w:firstRowLastColumn="0" w:lastRowFirstColumn="0" w:lastRowLastColumn="0"/>
            <w:tcW w:w="2972" w:type="dxa"/>
          </w:tcPr>
          <w:p w14:paraId="2A3CC101" w14:textId="2D833D1C" w:rsidR="006C58F9" w:rsidRPr="00A71C46" w:rsidRDefault="006C58F9" w:rsidP="006C58F9">
            <w:pPr>
              <w:pStyle w:val="Tablebody"/>
              <w:rPr>
                <w:b/>
                <w:bCs/>
              </w:rPr>
            </w:pPr>
            <w:r w:rsidRPr="00A71C46">
              <w:rPr>
                <w:b/>
                <w:bCs/>
              </w:rPr>
              <w:t>Inadequate governance results in material breach of statutory obligations</w:t>
            </w:r>
          </w:p>
        </w:tc>
        <w:tc>
          <w:tcPr>
            <w:tcW w:w="6650" w:type="dxa"/>
          </w:tcPr>
          <w:p w14:paraId="77C51F72" w14:textId="1ECC24FB" w:rsidR="006C58F9" w:rsidRDefault="006C58F9" w:rsidP="006C58F9">
            <w:pPr>
              <w:pStyle w:val="Tablebody"/>
              <w:cnfStyle w:val="000000000000" w:firstRow="0" w:lastRow="0" w:firstColumn="0" w:lastColumn="0" w:oddVBand="0" w:evenVBand="0" w:oddHBand="0" w:evenHBand="0" w:firstRowFirstColumn="0" w:firstRowLastColumn="0" w:lastRowFirstColumn="0" w:lastRowLastColumn="0"/>
            </w:pPr>
            <w:r>
              <w:rPr>
                <w:spacing w:val="2"/>
              </w:rPr>
              <w:t>This risk relates to ongoing management of the general statutory obligations placed on the VCGLR under a wide range of Acts. It encompasses decision making, delegated authorities, Board obligations, statutory reporting, annual attestations and the overall system of internal controls that maintain good governance.</w:t>
            </w:r>
          </w:p>
        </w:tc>
      </w:tr>
      <w:tr w:rsidR="006C58F9" w14:paraId="1E5A4F39" w14:textId="77777777" w:rsidTr="00612327">
        <w:tc>
          <w:tcPr>
            <w:cnfStyle w:val="001000000000" w:firstRow="0" w:lastRow="0" w:firstColumn="1" w:lastColumn="0" w:oddVBand="0" w:evenVBand="0" w:oddHBand="0" w:evenHBand="0" w:firstRowFirstColumn="0" w:firstRowLastColumn="0" w:lastRowFirstColumn="0" w:lastRowLastColumn="0"/>
            <w:tcW w:w="2972" w:type="dxa"/>
          </w:tcPr>
          <w:p w14:paraId="2034476D" w14:textId="18B36171" w:rsidR="006C58F9" w:rsidRPr="00A71C46" w:rsidRDefault="006C58F9" w:rsidP="006C58F9">
            <w:pPr>
              <w:pStyle w:val="Tablebody"/>
              <w:rPr>
                <w:b/>
                <w:bCs/>
              </w:rPr>
            </w:pPr>
            <w:r w:rsidRPr="00A71C46">
              <w:rPr>
                <w:b/>
                <w:bCs/>
              </w:rPr>
              <w:t>Business disruption caused by an external event</w:t>
            </w:r>
          </w:p>
        </w:tc>
        <w:tc>
          <w:tcPr>
            <w:tcW w:w="6650" w:type="dxa"/>
          </w:tcPr>
          <w:p w14:paraId="10A4D3B4" w14:textId="34ADDEA1" w:rsidR="006C58F9" w:rsidRDefault="006C58F9" w:rsidP="006C58F9">
            <w:pPr>
              <w:pStyle w:val="Tablebody"/>
              <w:cnfStyle w:val="000000000000" w:firstRow="0" w:lastRow="0" w:firstColumn="0" w:lastColumn="0" w:oddVBand="0" w:evenVBand="0" w:oddHBand="0" w:evenHBand="0" w:firstRowFirstColumn="0" w:firstRowLastColumn="0" w:lastRowFirstColumn="0" w:lastRowLastColumn="0"/>
            </w:pPr>
            <w:r>
              <w:rPr>
                <w:spacing w:val="2"/>
              </w:rPr>
              <w:t xml:space="preserve">The risk relates to the VCGLR being able to deliver, either partially or fully, upon its legislative objectives. This is inclusive of the risk that a major external event(s) arises affecting the organisation and is beyond its influence or control, will cause direct physical loss, damage or destruction of property and/or cause death or chronic illness to staff (and their families/communities) and stakeholders.  External events may include but are not limited </w:t>
            </w:r>
            <w:proofErr w:type="gramStart"/>
            <w:r>
              <w:rPr>
                <w:spacing w:val="2"/>
              </w:rPr>
              <w:t>to:</w:t>
            </w:r>
            <w:proofErr w:type="gramEnd"/>
            <w:r>
              <w:rPr>
                <w:spacing w:val="2"/>
              </w:rPr>
              <w:t xml:space="preserve"> pandemic, fire and explosion, cyber events, natural disasters, civil unrest, and regulatory or legal change. </w:t>
            </w:r>
          </w:p>
        </w:tc>
      </w:tr>
    </w:tbl>
    <w:p w14:paraId="39506316" w14:textId="6EB9F3C6" w:rsidR="006C58F9" w:rsidRDefault="006C58F9" w:rsidP="006C58F9">
      <w:pPr>
        <w:pStyle w:val="Heading1"/>
      </w:pPr>
      <w:bookmarkStart w:id="24" w:name="_Toc50640855"/>
      <w:r>
        <w:lastRenderedPageBreak/>
        <w:t>Actions to deliver our strategic priorities</w:t>
      </w:r>
      <w:bookmarkEnd w:id="24"/>
    </w:p>
    <w:p w14:paraId="6EC9DFB9" w14:textId="2840F4AB" w:rsidR="006C58F9" w:rsidRPr="006C58F9" w:rsidRDefault="006C58F9" w:rsidP="006C58F9">
      <w:pPr>
        <w:pStyle w:val="Heading3"/>
      </w:pPr>
      <w:r w:rsidRPr="006C58F9">
        <w:t>Our vision</w:t>
      </w:r>
    </w:p>
    <w:p w14:paraId="6C408E2B" w14:textId="77777777" w:rsidR="006C58F9" w:rsidRPr="006C58F9" w:rsidRDefault="006C58F9" w:rsidP="006C58F9">
      <w:r w:rsidRPr="006C58F9">
        <w:t>Victorians and visitors enjoy safe and responsible gambling and liquor environments.</w:t>
      </w:r>
    </w:p>
    <w:p w14:paraId="27F6D643" w14:textId="77777777" w:rsidR="006C58F9" w:rsidRPr="006C58F9" w:rsidRDefault="006C58F9" w:rsidP="006C58F9">
      <w:pPr>
        <w:pStyle w:val="Heading3"/>
      </w:pPr>
      <w:r w:rsidRPr="006C58F9">
        <w:t>Our purpose</w:t>
      </w:r>
    </w:p>
    <w:p w14:paraId="43869FA2" w14:textId="77777777" w:rsidR="006C58F9" w:rsidRPr="006C58F9" w:rsidRDefault="006C58F9" w:rsidP="006C58F9">
      <w:r w:rsidRPr="006C58F9">
        <w:t>The VCGLR regulates Victoria’s gambling and liquor industries to ensure their integrity and to minimise harm.</w:t>
      </w:r>
    </w:p>
    <w:p w14:paraId="5EF70CBA" w14:textId="75813565" w:rsidR="006C58F9" w:rsidRDefault="006C58F9" w:rsidP="006C58F9">
      <w:pPr>
        <w:pStyle w:val="Heading3"/>
      </w:pPr>
      <w:r>
        <w:t>Our values</w:t>
      </w:r>
    </w:p>
    <w:p w14:paraId="78EA5162" w14:textId="0D1BF976" w:rsidR="006C58F9" w:rsidRDefault="006C58F9" w:rsidP="006C58F9">
      <w:pPr>
        <w:pStyle w:val="Bullet1"/>
      </w:pPr>
      <w:r>
        <w:t>Work together</w:t>
      </w:r>
    </w:p>
    <w:p w14:paraId="053DCA89" w14:textId="7B9E4C37" w:rsidR="006C58F9" w:rsidRDefault="006C58F9" w:rsidP="006C58F9">
      <w:pPr>
        <w:pStyle w:val="Bullet1"/>
      </w:pPr>
      <w:r>
        <w:t>Respect other people</w:t>
      </w:r>
    </w:p>
    <w:p w14:paraId="02DEDCBC" w14:textId="5EEBD737" w:rsidR="006C58F9" w:rsidRDefault="006C58F9" w:rsidP="006C58F9">
      <w:pPr>
        <w:pStyle w:val="Bullet1"/>
      </w:pPr>
      <w:r>
        <w:t>Act with integrity</w:t>
      </w:r>
    </w:p>
    <w:p w14:paraId="18AC3585" w14:textId="6721CBAD" w:rsidR="006C58F9" w:rsidRDefault="006C58F9" w:rsidP="006C58F9">
      <w:pPr>
        <w:pStyle w:val="Bullet1"/>
      </w:pPr>
      <w:r>
        <w:t>Make it happen</w:t>
      </w:r>
    </w:p>
    <w:p w14:paraId="168F8FBB" w14:textId="6E22836A" w:rsidR="006C58F9" w:rsidRDefault="006C58F9" w:rsidP="006C58F9">
      <w:pPr>
        <w:pStyle w:val="Heading3"/>
      </w:pPr>
      <w:r>
        <w:t>Our outcomes</w:t>
      </w:r>
    </w:p>
    <w:p w14:paraId="77A6B799" w14:textId="77777777" w:rsidR="006C58F9" w:rsidRDefault="006C58F9" w:rsidP="006C58F9">
      <w:pPr>
        <w:pStyle w:val="Alphabetlist"/>
      </w:pPr>
      <w:r>
        <w:t>High levels of confidence in VCGLR</w:t>
      </w:r>
    </w:p>
    <w:p w14:paraId="51DE7260" w14:textId="736285B7" w:rsidR="006C58F9" w:rsidRDefault="006C58F9" w:rsidP="006C58F9">
      <w:pPr>
        <w:pStyle w:val="Alphabetlist"/>
      </w:pPr>
      <w:r>
        <w:t>Improved industry compliance</w:t>
      </w:r>
    </w:p>
    <w:p w14:paraId="47B9B92F" w14:textId="77777777" w:rsidR="006C58F9" w:rsidRDefault="006C58F9" w:rsidP="006C58F9">
      <w:pPr>
        <w:pStyle w:val="Alphabetlist"/>
      </w:pPr>
      <w:r>
        <w:t>VCGLR is easy to access</w:t>
      </w:r>
    </w:p>
    <w:p w14:paraId="3D185D3D" w14:textId="0F000992" w:rsidR="006C58F9" w:rsidRDefault="006C58F9" w:rsidP="006C58F9">
      <w:pPr>
        <w:pStyle w:val="Alphabetlist"/>
      </w:pPr>
      <w:r>
        <w:t>VCGLR is a sustainable organisation</w:t>
      </w:r>
    </w:p>
    <w:p w14:paraId="0F7BD360" w14:textId="509263D3" w:rsidR="006C58F9" w:rsidRDefault="006C58F9" w:rsidP="006C58F9">
      <w:pPr>
        <w:pStyle w:val="Heading3"/>
      </w:pPr>
      <w:r>
        <w:t>Our strategic priorities</w:t>
      </w:r>
    </w:p>
    <w:p w14:paraId="49684CDE" w14:textId="77777777" w:rsidR="006C58F9" w:rsidRPr="006C58F9" w:rsidRDefault="006C58F9" w:rsidP="006C58F9">
      <w:pPr>
        <w:pStyle w:val="Numberlist"/>
      </w:pPr>
      <w:r w:rsidRPr="006C58F9">
        <w:t>Be an influential regulator</w:t>
      </w:r>
    </w:p>
    <w:p w14:paraId="4159BC70" w14:textId="77777777" w:rsidR="006C58F9" w:rsidRPr="006C58F9" w:rsidRDefault="006C58F9" w:rsidP="006C58F9">
      <w:pPr>
        <w:pStyle w:val="Numberlist"/>
      </w:pPr>
      <w:r w:rsidRPr="006C58F9">
        <w:t>Apply responsive regulatory practice</w:t>
      </w:r>
    </w:p>
    <w:p w14:paraId="2A9EDBB9" w14:textId="77777777" w:rsidR="006C58F9" w:rsidRPr="006C58F9" w:rsidRDefault="006C58F9" w:rsidP="006C58F9">
      <w:pPr>
        <w:pStyle w:val="Numberlist"/>
      </w:pPr>
      <w:r w:rsidRPr="006C58F9">
        <w:t>Enhance the user experience</w:t>
      </w:r>
    </w:p>
    <w:p w14:paraId="73552E6F" w14:textId="25B0A70F" w:rsidR="006C58F9" w:rsidRDefault="006C58F9" w:rsidP="006C58F9">
      <w:pPr>
        <w:pStyle w:val="Numberlist"/>
      </w:pPr>
      <w:r w:rsidRPr="006C58F9">
        <w:t>Build and maintain a sustainable organisation</w:t>
      </w:r>
    </w:p>
    <w:p w14:paraId="0505A6EC" w14:textId="2937FA2A" w:rsidR="006C58F9" w:rsidRDefault="006C58F9" w:rsidP="006C58F9">
      <w:pPr>
        <w:pStyle w:val="Heading3"/>
        <w:ind w:left="284" w:hanging="284"/>
        <w:rPr>
          <w:lang w:val="en-AU"/>
        </w:rPr>
      </w:pPr>
      <w:r>
        <w:rPr>
          <w:lang w:val="en-AU"/>
        </w:rPr>
        <w:t>Our 3-year actions in support of the strategic priorities</w:t>
      </w:r>
    </w:p>
    <w:p w14:paraId="79AA4CD4" w14:textId="77777777" w:rsidR="006C58F9" w:rsidRPr="006C58F9" w:rsidRDefault="006C58F9" w:rsidP="006C58F9">
      <w:pPr>
        <w:pStyle w:val="Numberlist"/>
        <w:numPr>
          <w:ilvl w:val="0"/>
          <w:numId w:val="43"/>
        </w:numPr>
        <w:ind w:left="284" w:hanging="284"/>
      </w:pPr>
      <w:r w:rsidRPr="006C58F9">
        <w:t>Implement a program of engagement with community, industry and coregulators</w:t>
      </w:r>
    </w:p>
    <w:p w14:paraId="15524D24" w14:textId="77777777" w:rsidR="006C58F9" w:rsidRPr="006C58F9" w:rsidRDefault="006C58F9" w:rsidP="006C58F9">
      <w:pPr>
        <w:pStyle w:val="Numberlist"/>
        <w:numPr>
          <w:ilvl w:val="0"/>
          <w:numId w:val="43"/>
        </w:numPr>
        <w:ind w:left="284" w:hanging="284"/>
      </w:pPr>
      <w:r w:rsidRPr="006C58F9">
        <w:t xml:space="preserve">Use risk-based tools, data and intelligence to inform our regulatory </w:t>
      </w:r>
      <w:proofErr w:type="gramStart"/>
      <w:r w:rsidRPr="006C58F9">
        <w:t>decisions  and</w:t>
      </w:r>
      <w:proofErr w:type="gramEnd"/>
      <w:r w:rsidRPr="006C58F9">
        <w:t xml:space="preserve"> actions</w:t>
      </w:r>
    </w:p>
    <w:p w14:paraId="116615C1" w14:textId="518F79B4" w:rsidR="006C58F9" w:rsidRPr="006C58F9" w:rsidRDefault="006C58F9" w:rsidP="006C58F9">
      <w:pPr>
        <w:pStyle w:val="Numberlist"/>
        <w:numPr>
          <w:ilvl w:val="0"/>
          <w:numId w:val="43"/>
        </w:numPr>
        <w:ind w:left="284" w:hanging="284"/>
      </w:pPr>
      <w:r w:rsidRPr="006C58F9">
        <w:t>Implement a Strategic Communication and Engagement Framework to strengthen cooperation, collaboration, transparency and access to information.</w:t>
      </w:r>
      <w:r>
        <w:br/>
      </w:r>
    </w:p>
    <w:p w14:paraId="145D3F05" w14:textId="77777777" w:rsidR="006C58F9" w:rsidRPr="006C58F9" w:rsidRDefault="006C58F9" w:rsidP="006C58F9">
      <w:pPr>
        <w:pStyle w:val="Numberlist"/>
        <w:numPr>
          <w:ilvl w:val="0"/>
          <w:numId w:val="44"/>
        </w:numPr>
        <w:ind w:left="284" w:hanging="284"/>
      </w:pPr>
      <w:r w:rsidRPr="006C58F9">
        <w:t>Develop tools for industry to assist them to comply with regulatory requirements</w:t>
      </w:r>
    </w:p>
    <w:p w14:paraId="5847553E" w14:textId="77777777" w:rsidR="006C58F9" w:rsidRPr="006C58F9" w:rsidRDefault="006C58F9" w:rsidP="006C58F9">
      <w:pPr>
        <w:pStyle w:val="Numberlist"/>
        <w:numPr>
          <w:ilvl w:val="0"/>
          <w:numId w:val="44"/>
        </w:numPr>
        <w:ind w:left="284" w:hanging="284"/>
      </w:pPr>
      <w:r w:rsidRPr="006C58F9">
        <w:t>Strengthen our intelligence capability to identify and target risk</w:t>
      </w:r>
    </w:p>
    <w:p w14:paraId="439E0EBB" w14:textId="77777777" w:rsidR="006C58F9" w:rsidRPr="006C58F9" w:rsidRDefault="006C58F9" w:rsidP="006C58F9">
      <w:pPr>
        <w:pStyle w:val="Numberlist"/>
        <w:numPr>
          <w:ilvl w:val="0"/>
          <w:numId w:val="44"/>
        </w:numPr>
        <w:ind w:left="284" w:hanging="284"/>
      </w:pPr>
      <w:r w:rsidRPr="006C58F9">
        <w:t>Continually evaluate our risk-based frameworks and practice to achieve regulatory outcomes</w:t>
      </w:r>
    </w:p>
    <w:p w14:paraId="21A7E24B" w14:textId="2318284D" w:rsidR="006C58F9" w:rsidRPr="006C58F9" w:rsidRDefault="006C58F9" w:rsidP="006C58F9">
      <w:pPr>
        <w:pStyle w:val="Numberlist"/>
        <w:numPr>
          <w:ilvl w:val="0"/>
          <w:numId w:val="44"/>
        </w:numPr>
        <w:ind w:left="284" w:hanging="284"/>
      </w:pPr>
      <w:r w:rsidRPr="006C58F9">
        <w:t>Engage with industry to better anticipate and understand new and emerging trends, products and services.</w:t>
      </w:r>
      <w:r>
        <w:br/>
      </w:r>
    </w:p>
    <w:p w14:paraId="40A1203A" w14:textId="77777777" w:rsidR="006C58F9" w:rsidRPr="006C58F9" w:rsidRDefault="006C58F9" w:rsidP="006C58F9">
      <w:pPr>
        <w:pStyle w:val="Numberlist"/>
        <w:numPr>
          <w:ilvl w:val="0"/>
          <w:numId w:val="45"/>
        </w:numPr>
        <w:ind w:left="284" w:hanging="284"/>
      </w:pPr>
      <w:r w:rsidRPr="006C58F9">
        <w:t>Simplify and enhance the quality of our online information and resources</w:t>
      </w:r>
    </w:p>
    <w:p w14:paraId="005E27C4" w14:textId="77777777" w:rsidR="006C58F9" w:rsidRPr="006C58F9" w:rsidRDefault="006C58F9" w:rsidP="006C58F9">
      <w:pPr>
        <w:pStyle w:val="Numberlist"/>
        <w:numPr>
          <w:ilvl w:val="0"/>
          <w:numId w:val="45"/>
        </w:numPr>
        <w:ind w:left="284" w:hanging="284"/>
      </w:pPr>
      <w:r w:rsidRPr="006C58F9">
        <w:t>Modernise communication tools and content</w:t>
      </w:r>
    </w:p>
    <w:p w14:paraId="372843C0" w14:textId="70CEC43F" w:rsidR="006C58F9" w:rsidRPr="006C58F9" w:rsidRDefault="006C58F9" w:rsidP="006C58F9">
      <w:pPr>
        <w:pStyle w:val="Numberlist"/>
        <w:numPr>
          <w:ilvl w:val="0"/>
          <w:numId w:val="45"/>
        </w:numPr>
        <w:ind w:left="284" w:hanging="284"/>
      </w:pPr>
      <w:r w:rsidRPr="006C58F9">
        <w:t>Design and implement services to meet stakeholder needs.</w:t>
      </w:r>
      <w:r>
        <w:br/>
      </w:r>
    </w:p>
    <w:p w14:paraId="1EBBE369" w14:textId="77777777" w:rsidR="006C58F9" w:rsidRPr="006C58F9" w:rsidRDefault="006C58F9" w:rsidP="006C58F9">
      <w:pPr>
        <w:pStyle w:val="Numberlist"/>
        <w:numPr>
          <w:ilvl w:val="0"/>
          <w:numId w:val="46"/>
        </w:numPr>
        <w:ind w:left="284" w:hanging="284"/>
      </w:pPr>
      <w:r w:rsidRPr="006C58F9">
        <w:lastRenderedPageBreak/>
        <w:t>Implement the workforce strategy</w:t>
      </w:r>
    </w:p>
    <w:p w14:paraId="29100006" w14:textId="77777777" w:rsidR="006C58F9" w:rsidRPr="006C58F9" w:rsidRDefault="006C58F9" w:rsidP="006C58F9">
      <w:pPr>
        <w:pStyle w:val="Numberlist"/>
        <w:numPr>
          <w:ilvl w:val="0"/>
          <w:numId w:val="46"/>
        </w:numPr>
        <w:ind w:left="284" w:hanging="284"/>
      </w:pPr>
      <w:r w:rsidRPr="006C58F9">
        <w:t>Participate in government budget processes to secure an appropriate level of funding to enable us to implement the Government’s policy in regulating the gambling and liquor industries and deliver our legislative and regulatory obligations</w:t>
      </w:r>
    </w:p>
    <w:p w14:paraId="374EDBD2" w14:textId="65DDA797" w:rsidR="006C58F9" w:rsidRDefault="006C58F9" w:rsidP="006C58F9">
      <w:pPr>
        <w:pStyle w:val="Numberlist"/>
        <w:numPr>
          <w:ilvl w:val="0"/>
          <w:numId w:val="46"/>
        </w:numPr>
        <w:ind w:left="284" w:hanging="284"/>
      </w:pPr>
      <w:r w:rsidRPr="006C58F9">
        <w:t>Implement ICT Strategy 2019–2023 to deliver contemporary and value for money capability</w:t>
      </w:r>
    </w:p>
    <w:p w14:paraId="21B84C1D" w14:textId="77777777" w:rsidR="006C58F9" w:rsidRPr="006C58F9" w:rsidRDefault="006C58F9" w:rsidP="006C58F9">
      <w:pPr>
        <w:rPr>
          <w:lang w:val="en-AU"/>
        </w:rPr>
      </w:pPr>
    </w:p>
    <w:sectPr w:rsidR="006C58F9" w:rsidRPr="006C58F9" w:rsidSect="00C222E9">
      <w:headerReference w:type="default" r:id="rId24"/>
      <w:footerReference w:type="default" r:id="rId25"/>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B8DCD" w14:textId="77777777" w:rsidR="00ED0482" w:rsidRDefault="00ED0482" w:rsidP="003967DD">
      <w:pPr>
        <w:spacing w:after="0"/>
      </w:pPr>
      <w:r>
        <w:separator/>
      </w:r>
    </w:p>
  </w:endnote>
  <w:endnote w:type="continuationSeparator" w:id="0">
    <w:p w14:paraId="484477D7" w14:textId="77777777" w:rsidR="00ED0482" w:rsidRDefault="00ED0482"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Arial (Body)">
    <w:altName w:val="Arial"/>
    <w:panose1 w:val="020B0604020202020204"/>
    <w:charset w:val="00"/>
    <w:family w:val="roman"/>
    <w:pitch w:val="default"/>
  </w:font>
  <w:font w:name="Arial Bold">
    <w:altName w:val="Arial"/>
    <w:panose1 w:val="020B0604020202020204"/>
    <w:charset w:val="00"/>
    <w:family w:val="roman"/>
    <w:notTrueType/>
    <w:pitch w:val="default"/>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Minion Pro">
    <w:altName w:val="Cambria"/>
    <w:panose1 w:val="02040503050306020203"/>
    <w:charset w:val="00"/>
    <w:family w:val="roman"/>
    <w:pitch w:val="variable"/>
    <w:sig w:usb0="60000287" w:usb1="00000001" w:usb2="00000000" w:usb3="00000000" w:csb0="0000019F" w:csb1="00000000"/>
  </w:font>
  <w:font w:name="VIC Medium">
    <w:panose1 w:val="000006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CB5" w14:textId="77777777" w:rsidR="00564359" w:rsidRDefault="00564359" w:rsidP="0056435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564359" w:rsidRDefault="0056435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DEB7" w14:textId="52DE6CEB" w:rsidR="00564359" w:rsidRPr="00F9473B" w:rsidRDefault="00564359" w:rsidP="00F9473B">
    <w:pPr>
      <w:pStyle w:val="Footer"/>
      <w:rPr>
        <w:color w:val="FFFFFF" w:themeColor="background1"/>
      </w:rPr>
    </w:pPr>
    <w:r>
      <w:rPr>
        <w:rStyle w:val="PageNumber"/>
        <w:color w:val="FFFFFF" w:themeColor="background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475DE" w14:textId="77777777" w:rsidR="00DB1CBC" w:rsidRDefault="00DB1C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18E0" w14:textId="77777777" w:rsidR="00564359" w:rsidRDefault="00564359" w:rsidP="0056435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C10D1C" w14:textId="404D1FB9" w:rsidR="00564359" w:rsidRDefault="004445F9" w:rsidP="00A31926">
    <w:pPr>
      <w:pStyle w:val="Footer"/>
      <w:ind w:firstLine="360"/>
    </w:pPr>
    <w:r w:rsidRPr="004445F9">
      <w:t>Content copyright under licence Creative Commons 4.0</w:t>
    </w:r>
    <w:r w:rsidR="00564359">
      <w:rPr>
        <w:noProof/>
      </w:rPr>
      <w:drawing>
        <wp:anchor distT="0" distB="0" distL="114300" distR="114300" simplePos="0" relativeHeight="251663360" behindDoc="1" locked="0" layoutInCell="1" allowOverlap="1" wp14:anchorId="32915857" wp14:editId="3A9CF1D2">
          <wp:simplePos x="0" y="0"/>
          <wp:positionH relativeFrom="column">
            <wp:posOffset>-725805</wp:posOffset>
          </wp:positionH>
          <wp:positionV relativeFrom="paragraph">
            <wp:posOffset>480695</wp:posOffset>
          </wp:positionV>
          <wp:extent cx="7559675" cy="221914"/>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9675" cy="221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A8FEC" w14:textId="77777777" w:rsidR="00564359" w:rsidRDefault="00564359" w:rsidP="0056435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804AA6" w14:textId="733F4E52" w:rsidR="00564359" w:rsidRDefault="00564359" w:rsidP="00A31926">
    <w:pPr>
      <w:pStyle w:val="Footer"/>
      <w:ind w:firstLine="360"/>
    </w:pPr>
    <w:r>
      <w:rPr>
        <w:noProof/>
      </w:rPr>
      <w:drawing>
        <wp:anchor distT="0" distB="0" distL="114300" distR="114300" simplePos="0" relativeHeight="251665408" behindDoc="1" locked="0" layoutInCell="1" allowOverlap="1" wp14:anchorId="38BBD1FC" wp14:editId="774619A2">
          <wp:simplePos x="0" y="0"/>
          <wp:positionH relativeFrom="column">
            <wp:posOffset>-725805</wp:posOffset>
          </wp:positionH>
          <wp:positionV relativeFrom="paragraph">
            <wp:posOffset>480695</wp:posOffset>
          </wp:positionV>
          <wp:extent cx="7559675" cy="221914"/>
          <wp:effectExtent l="0" t="0" r="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CGLR Word templates components_blue.jpg"/>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9675" cy="221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5EAC8949" wp14:editId="41C857CA">
          <wp:simplePos x="0" y="0"/>
          <wp:positionH relativeFrom="column">
            <wp:posOffset>-725805</wp:posOffset>
          </wp:positionH>
          <wp:positionV relativeFrom="paragraph">
            <wp:posOffset>480695</wp:posOffset>
          </wp:positionV>
          <wp:extent cx="7559675" cy="221914"/>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9675" cy="221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5A991" w14:textId="77777777" w:rsidR="00ED0482" w:rsidRDefault="00ED0482" w:rsidP="003967DD">
      <w:pPr>
        <w:spacing w:after="0"/>
      </w:pPr>
      <w:r>
        <w:separator/>
      </w:r>
    </w:p>
  </w:footnote>
  <w:footnote w:type="continuationSeparator" w:id="0">
    <w:p w14:paraId="6D250006" w14:textId="77777777" w:rsidR="00ED0482" w:rsidRDefault="00ED0482"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BA15D" w14:textId="77777777" w:rsidR="00DB1CBC" w:rsidRDefault="00DB1C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AF26E" w14:textId="5C9C209E" w:rsidR="0033015A" w:rsidRDefault="0033015A">
    <w:pPr>
      <w:pStyle w:val="Header"/>
    </w:pPr>
    <w:r>
      <w:rPr>
        <w:noProof/>
      </w:rPr>
      <w:drawing>
        <wp:anchor distT="0" distB="0" distL="114300" distR="114300" simplePos="0" relativeHeight="251678720" behindDoc="1" locked="0" layoutInCell="1" allowOverlap="1" wp14:anchorId="6C9C2C55" wp14:editId="32330106">
          <wp:simplePos x="0" y="0"/>
          <wp:positionH relativeFrom="column">
            <wp:posOffset>-717550</wp:posOffset>
          </wp:positionH>
          <wp:positionV relativeFrom="paragraph">
            <wp:posOffset>-449580</wp:posOffset>
          </wp:positionV>
          <wp:extent cx="7560000" cy="10685407"/>
          <wp:effectExtent l="0" t="0" r="0" b="0"/>
          <wp:wrapNone/>
          <wp:docPr id="24" name="Picture 24" descr="Victorian Commission for Gambling and Liquor Regulation logo&#10;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ctorian Commission for Gambling and Liquor Regulation logo&#10;Victoria State Government logo"/>
                  <pic:cNvPicPr/>
                </pic:nvPicPr>
                <pic:blipFill>
                  <a:blip r:embed="rId1">
                    <a:extLst>
                      <a:ext uri="{28A0092B-C50C-407E-A947-70E740481C1C}">
                        <a14:useLocalDpi xmlns:a14="http://schemas.microsoft.com/office/drawing/2010/main"/>
                      </a:ext>
                    </a:extLst>
                  </a:blip>
                  <a:stretch>
                    <a:fillRect/>
                  </a:stretch>
                </pic:blipFill>
                <pic:spPr>
                  <a:xfrm>
                    <a:off x="0" y="0"/>
                    <a:ext cx="7560000" cy="1068540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8A9C3" w14:textId="77777777" w:rsidR="00DB1CBC" w:rsidRDefault="00DB1C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DB75B" w14:textId="77777777" w:rsidR="00564359" w:rsidRDefault="00564359">
    <w:pPr>
      <w:pStyle w:val="Header"/>
    </w:pPr>
    <w:r>
      <w:rPr>
        <w:noProof/>
      </w:rPr>
      <w:drawing>
        <wp:anchor distT="0" distB="0" distL="114300" distR="114300" simplePos="0" relativeHeight="251677696" behindDoc="1" locked="0" layoutInCell="1" allowOverlap="1" wp14:anchorId="65800768" wp14:editId="52E87352">
          <wp:simplePos x="0" y="0"/>
          <wp:positionH relativeFrom="column">
            <wp:posOffset>-725805</wp:posOffset>
          </wp:positionH>
          <wp:positionV relativeFrom="paragraph">
            <wp:posOffset>-443230</wp:posOffset>
          </wp:positionV>
          <wp:extent cx="7559675" cy="228600"/>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96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C8440" w14:textId="5CD2A778" w:rsidR="00564359" w:rsidRDefault="00564359">
    <w:pPr>
      <w:pStyle w:val="Header"/>
    </w:pPr>
    <w:r>
      <w:rPr>
        <w:noProof/>
      </w:rPr>
      <w:drawing>
        <wp:anchor distT="0" distB="0" distL="114300" distR="114300" simplePos="0" relativeHeight="251671552" behindDoc="1" locked="0" layoutInCell="1" allowOverlap="1" wp14:anchorId="498A386E" wp14:editId="31F5E7BF">
          <wp:simplePos x="0" y="0"/>
          <wp:positionH relativeFrom="column">
            <wp:posOffset>-725805</wp:posOffset>
          </wp:positionH>
          <wp:positionV relativeFrom="paragraph">
            <wp:posOffset>-443865</wp:posOffset>
          </wp:positionV>
          <wp:extent cx="7559675" cy="2286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96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90E5B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DA26B0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E5CF0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CA2EB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9C4EB7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6ACB91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6464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B84DC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592B9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A5268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7376C3"/>
    <w:multiLevelType w:val="hybridMultilevel"/>
    <w:tmpl w:val="BCEC19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3C2158"/>
    <w:multiLevelType w:val="hybridMultilevel"/>
    <w:tmpl w:val="BCEC19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2D2185"/>
    <w:multiLevelType w:val="multilevel"/>
    <w:tmpl w:val="0809001F"/>
    <w:lvl w:ilvl="0">
      <w:start w:val="1"/>
      <w:numFmt w:val="decimal"/>
      <w:lvlText w:val="%1."/>
      <w:lvlJc w:val="left"/>
      <w:pPr>
        <w:ind w:left="1353" w:hanging="360"/>
      </w:p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4" w15:restartNumberingAfterBreak="0">
    <w:nsid w:val="12EA5A74"/>
    <w:multiLevelType w:val="multilevel"/>
    <w:tmpl w:val="52969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A91700A"/>
    <w:multiLevelType w:val="hybridMultilevel"/>
    <w:tmpl w:val="102EF072"/>
    <w:lvl w:ilvl="0" w:tplc="E182DC66">
      <w:start w:val="1"/>
      <w:numFmt w:val="decimal"/>
      <w:lvlText w:val="%1"/>
      <w:lvlJc w:val="left"/>
      <w:pPr>
        <w:ind w:left="794" w:hanging="79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2F227F"/>
    <w:multiLevelType w:val="hybridMultilevel"/>
    <w:tmpl w:val="24E0F6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762048"/>
    <w:multiLevelType w:val="hybridMultilevel"/>
    <w:tmpl w:val="1F50C36C"/>
    <w:lvl w:ilvl="0" w:tplc="A08A6460">
      <w:start w:val="5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0559B9"/>
    <w:multiLevelType w:val="hybridMultilevel"/>
    <w:tmpl w:val="ACD862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7E24F9"/>
    <w:multiLevelType w:val="multilevel"/>
    <w:tmpl w:val="C032ED0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E868C9"/>
    <w:multiLevelType w:val="multilevel"/>
    <w:tmpl w:val="680CEB7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56761B"/>
    <w:multiLevelType w:val="multilevel"/>
    <w:tmpl w:val="EDAEDD66"/>
    <w:lvl w:ilvl="0">
      <w:start w:val="1"/>
      <w:numFmt w:val="decimal"/>
      <w:lvlText w:val="%1"/>
      <w:lvlJc w:val="left"/>
      <w:pPr>
        <w:ind w:left="794" w:hanging="43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BA35373"/>
    <w:multiLevelType w:val="multilevel"/>
    <w:tmpl w:val="265C08CA"/>
    <w:lvl w:ilvl="0">
      <w:start w:val="1"/>
      <w:numFmt w:val="decimal"/>
      <w:pStyle w:val="Alphabetlist"/>
      <w:lvlText w:val="%1."/>
      <w:lvlJc w:val="left"/>
      <w:pPr>
        <w:ind w:left="360" w:hanging="360"/>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D012EF4"/>
    <w:multiLevelType w:val="multilevel"/>
    <w:tmpl w:val="C032ED0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0335527"/>
    <w:multiLevelType w:val="hybridMultilevel"/>
    <w:tmpl w:val="A5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C71D9A"/>
    <w:multiLevelType w:val="hybridMultilevel"/>
    <w:tmpl w:val="73DE69F6"/>
    <w:lvl w:ilvl="0" w:tplc="D1E6F020">
      <w:start w:val="1"/>
      <w:numFmt w:val="decimal"/>
      <w:lvlText w:val="%1"/>
      <w:lvlJc w:val="left"/>
      <w:pPr>
        <w:ind w:left="737" w:hanging="73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DD7C73"/>
    <w:multiLevelType w:val="hybridMultilevel"/>
    <w:tmpl w:val="BCEC19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DE7C6C"/>
    <w:multiLevelType w:val="multilevel"/>
    <w:tmpl w:val="A5821C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DE5229B"/>
    <w:multiLevelType w:val="hybridMultilevel"/>
    <w:tmpl w:val="A8B83D46"/>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2" w15:restartNumberingAfterBreak="0">
    <w:nsid w:val="4E5C6655"/>
    <w:multiLevelType w:val="hybridMultilevel"/>
    <w:tmpl w:val="61B48FCE"/>
    <w:lvl w:ilvl="0" w:tplc="843ED248">
      <w:start w:val="1"/>
      <w:numFmt w:val="lowerLetter"/>
      <w:lvlText w:val="%1)"/>
      <w:lvlJc w:val="left"/>
      <w:pPr>
        <w:ind w:left="737" w:hanging="73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16C66F4"/>
    <w:multiLevelType w:val="hybridMultilevel"/>
    <w:tmpl w:val="F33CDD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752499"/>
    <w:multiLevelType w:val="hybridMultilevel"/>
    <w:tmpl w:val="BCEC19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004754"/>
    <w:multiLevelType w:val="multilevel"/>
    <w:tmpl w:val="8CAAED90"/>
    <w:lvl w:ilvl="0">
      <w:start w:val="1"/>
      <w:numFmt w:val="decimal"/>
      <w:lvlText w:val="%1"/>
      <w:lvlJc w:val="left"/>
      <w:pPr>
        <w:ind w:left="794"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1AA07CB"/>
    <w:multiLevelType w:val="multilevel"/>
    <w:tmpl w:val="FF18E67E"/>
    <w:lvl w:ilvl="0">
      <w:start w:val="1"/>
      <w:numFmt w:val="lowerLetter"/>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EF5F41"/>
    <w:multiLevelType w:val="hybridMultilevel"/>
    <w:tmpl w:val="209ED552"/>
    <w:lvl w:ilvl="0" w:tplc="E580F1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056BDC"/>
    <w:multiLevelType w:val="multilevel"/>
    <w:tmpl w:val="DA28F14C"/>
    <w:lvl w:ilvl="0">
      <w:start w:val="1"/>
      <w:numFmt w:val="decimal"/>
      <w:pStyle w:val="Heading2List"/>
      <w:lvlText w:val="%1"/>
      <w:lvlJc w:val="left"/>
      <w:pPr>
        <w:ind w:left="800" w:hanging="80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15:restartNumberingAfterBreak="0">
    <w:nsid w:val="787D2C48"/>
    <w:multiLevelType w:val="multilevel"/>
    <w:tmpl w:val="B94E8C24"/>
    <w:lvl w:ilvl="0">
      <w:start w:val="1"/>
      <w:numFmt w:val="lowerLetter"/>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9824CA9"/>
    <w:multiLevelType w:val="multilevel"/>
    <w:tmpl w:val="600E737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D2A7C0C"/>
    <w:multiLevelType w:val="hybridMultilevel"/>
    <w:tmpl w:val="65B2BEB8"/>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6"/>
  </w:num>
  <w:num w:numId="13">
    <w:abstractNumId w:val="35"/>
  </w:num>
  <w:num w:numId="14">
    <w:abstractNumId w:val="38"/>
  </w:num>
  <w:num w:numId="15">
    <w:abstractNumId w:val="22"/>
  </w:num>
  <w:num w:numId="16">
    <w:abstractNumId w:val="30"/>
  </w:num>
  <w:num w:numId="17">
    <w:abstractNumId w:val="25"/>
  </w:num>
  <w:num w:numId="18">
    <w:abstractNumId w:val="22"/>
    <w:lvlOverride w:ilvl="0">
      <w:lvl w:ilvl="0">
        <w:start w:val="1"/>
        <w:numFmt w:val="decimal"/>
        <w:pStyle w:val="Alphabetlist"/>
        <w:lvlText w:val="%1."/>
        <w:lvlJc w:val="left"/>
        <w:pPr>
          <w:ind w:left="360" w:hanging="360"/>
        </w:pPr>
        <w:rPr>
          <w:rFonts w:hint="default"/>
        </w:rPr>
      </w:lvl>
    </w:lvlOverride>
    <w:lvlOverride w:ilvl="1">
      <w:lvl w:ilvl="1">
        <w:start w:val="1"/>
        <w:numFmt w:val="lowerLetter"/>
        <w:lvlText w:val="%2."/>
        <w:lvlJc w:val="left"/>
        <w:pPr>
          <w:ind w:left="1440" w:hanging="589"/>
        </w:pPr>
        <w:rPr>
          <w:rFonts w:hint="default"/>
        </w:rPr>
      </w:lvl>
    </w:lvlOverride>
    <w:lvlOverride w:ilvl="2">
      <w:lvl w:ilvl="2">
        <w:start w:val="1"/>
        <w:numFmt w:val="lowerRoman"/>
        <w:lvlText w:val="%3."/>
        <w:lvlJc w:val="left"/>
        <w:pPr>
          <w:ind w:left="2160" w:hanging="459"/>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abstractNumId w:val="22"/>
    <w:lvlOverride w:ilvl="0">
      <w:lvl w:ilvl="0">
        <w:start w:val="1"/>
        <w:numFmt w:val="decimal"/>
        <w:pStyle w:val="Alphabetlist"/>
        <w:lvlText w:val="%1."/>
        <w:lvlJc w:val="left"/>
        <w:pPr>
          <w:ind w:left="360" w:hanging="360"/>
        </w:pPr>
        <w:rPr>
          <w:rFonts w:hint="default"/>
        </w:rPr>
      </w:lvl>
    </w:lvlOverride>
    <w:lvlOverride w:ilvl="1">
      <w:lvl w:ilvl="1">
        <w:start w:val="1"/>
        <w:numFmt w:val="lowerLetter"/>
        <w:lvlText w:val="%2."/>
        <w:lvlJc w:val="left"/>
        <w:pPr>
          <w:ind w:left="1134" w:hanging="567"/>
        </w:pPr>
        <w:rPr>
          <w:rFonts w:hint="default"/>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abstractNumId w:val="24"/>
  </w:num>
  <w:num w:numId="21">
    <w:abstractNumId w:val="29"/>
  </w:num>
  <w:num w:numId="22">
    <w:abstractNumId w:val="15"/>
  </w:num>
  <w:num w:numId="23">
    <w:abstractNumId w:val="21"/>
  </w:num>
  <w:num w:numId="24">
    <w:abstractNumId w:val="36"/>
  </w:num>
  <w:num w:numId="25">
    <w:abstractNumId w:val="27"/>
  </w:num>
  <w:num w:numId="26">
    <w:abstractNumId w:val="23"/>
  </w:num>
  <w:num w:numId="27">
    <w:abstractNumId w:val="31"/>
  </w:num>
  <w:num w:numId="28">
    <w:abstractNumId w:val="43"/>
  </w:num>
  <w:num w:numId="29">
    <w:abstractNumId w:val="13"/>
  </w:num>
  <w:num w:numId="30">
    <w:abstractNumId w:val="42"/>
  </w:num>
  <w:num w:numId="31">
    <w:abstractNumId w:val="20"/>
  </w:num>
  <w:num w:numId="32">
    <w:abstractNumId w:val="19"/>
  </w:num>
  <w:num w:numId="33">
    <w:abstractNumId w:val="40"/>
  </w:num>
  <w:num w:numId="34">
    <w:abstractNumId w:val="17"/>
  </w:num>
  <w:num w:numId="35">
    <w:abstractNumId w:val="18"/>
  </w:num>
  <w:num w:numId="36">
    <w:abstractNumId w:val="33"/>
  </w:num>
  <w:num w:numId="37">
    <w:abstractNumId w:val="16"/>
  </w:num>
  <w:num w:numId="38">
    <w:abstractNumId w:val="32"/>
  </w:num>
  <w:num w:numId="39">
    <w:abstractNumId w:val="14"/>
  </w:num>
  <w:num w:numId="40">
    <w:abstractNumId w:val="41"/>
  </w:num>
  <w:num w:numId="41">
    <w:abstractNumId w:val="37"/>
  </w:num>
  <w:num w:numId="42">
    <w:abstractNumId w:val="39"/>
  </w:num>
  <w:num w:numId="43">
    <w:abstractNumId w:val="11"/>
  </w:num>
  <w:num w:numId="44">
    <w:abstractNumId w:val="12"/>
  </w:num>
  <w:num w:numId="45">
    <w:abstractNumId w:val="34"/>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30534"/>
    <w:rsid w:val="0005575B"/>
    <w:rsid w:val="00077759"/>
    <w:rsid w:val="00080DA9"/>
    <w:rsid w:val="000A47D4"/>
    <w:rsid w:val="000C600E"/>
    <w:rsid w:val="00121B81"/>
    <w:rsid w:val="00122369"/>
    <w:rsid w:val="00150E0F"/>
    <w:rsid w:val="00157212"/>
    <w:rsid w:val="0016287D"/>
    <w:rsid w:val="001656CF"/>
    <w:rsid w:val="00171821"/>
    <w:rsid w:val="00176F8B"/>
    <w:rsid w:val="001A6F04"/>
    <w:rsid w:val="001C029A"/>
    <w:rsid w:val="001D0D94"/>
    <w:rsid w:val="001D13F9"/>
    <w:rsid w:val="001E7034"/>
    <w:rsid w:val="001F39DD"/>
    <w:rsid w:val="00221865"/>
    <w:rsid w:val="002512BE"/>
    <w:rsid w:val="00275FB8"/>
    <w:rsid w:val="00277A3E"/>
    <w:rsid w:val="00280D5B"/>
    <w:rsid w:val="00297164"/>
    <w:rsid w:val="002A4A96"/>
    <w:rsid w:val="002E3BED"/>
    <w:rsid w:val="002F6115"/>
    <w:rsid w:val="00302AC6"/>
    <w:rsid w:val="00312720"/>
    <w:rsid w:val="00317668"/>
    <w:rsid w:val="0033015A"/>
    <w:rsid w:val="00343AFC"/>
    <w:rsid w:val="0034745C"/>
    <w:rsid w:val="0035543A"/>
    <w:rsid w:val="00382F75"/>
    <w:rsid w:val="003967DD"/>
    <w:rsid w:val="003A4C39"/>
    <w:rsid w:val="003E7BDF"/>
    <w:rsid w:val="00407659"/>
    <w:rsid w:val="0042333B"/>
    <w:rsid w:val="004445F9"/>
    <w:rsid w:val="00456819"/>
    <w:rsid w:val="00471BA5"/>
    <w:rsid w:val="004A17E9"/>
    <w:rsid w:val="004A43B9"/>
    <w:rsid w:val="004B2ED6"/>
    <w:rsid w:val="00503D91"/>
    <w:rsid w:val="00512BBA"/>
    <w:rsid w:val="00526EC2"/>
    <w:rsid w:val="00540511"/>
    <w:rsid w:val="00551615"/>
    <w:rsid w:val="00555277"/>
    <w:rsid w:val="005574C8"/>
    <w:rsid w:val="00564359"/>
    <w:rsid w:val="00567CF0"/>
    <w:rsid w:val="00573914"/>
    <w:rsid w:val="00584366"/>
    <w:rsid w:val="005A4F12"/>
    <w:rsid w:val="005C1D6D"/>
    <w:rsid w:val="0060244C"/>
    <w:rsid w:val="00605277"/>
    <w:rsid w:val="00612327"/>
    <w:rsid w:val="00624A55"/>
    <w:rsid w:val="00625892"/>
    <w:rsid w:val="0064079E"/>
    <w:rsid w:val="00641322"/>
    <w:rsid w:val="0064649F"/>
    <w:rsid w:val="00647780"/>
    <w:rsid w:val="00653A2F"/>
    <w:rsid w:val="006671CE"/>
    <w:rsid w:val="00696912"/>
    <w:rsid w:val="006A25AC"/>
    <w:rsid w:val="006C58F9"/>
    <w:rsid w:val="006E2B9A"/>
    <w:rsid w:val="00710CED"/>
    <w:rsid w:val="00727C73"/>
    <w:rsid w:val="00743278"/>
    <w:rsid w:val="0075197F"/>
    <w:rsid w:val="007723AF"/>
    <w:rsid w:val="007A071E"/>
    <w:rsid w:val="007B556E"/>
    <w:rsid w:val="007C6849"/>
    <w:rsid w:val="007D3E38"/>
    <w:rsid w:val="007E2D67"/>
    <w:rsid w:val="008065DA"/>
    <w:rsid w:val="00843233"/>
    <w:rsid w:val="00843E35"/>
    <w:rsid w:val="00866FC1"/>
    <w:rsid w:val="00890680"/>
    <w:rsid w:val="008B1737"/>
    <w:rsid w:val="008B22C0"/>
    <w:rsid w:val="008E1D2A"/>
    <w:rsid w:val="00902FF3"/>
    <w:rsid w:val="00912353"/>
    <w:rsid w:val="00934259"/>
    <w:rsid w:val="00935484"/>
    <w:rsid w:val="00952690"/>
    <w:rsid w:val="00985D12"/>
    <w:rsid w:val="009C4062"/>
    <w:rsid w:val="00A31926"/>
    <w:rsid w:val="00A607E9"/>
    <w:rsid w:val="00A65927"/>
    <w:rsid w:val="00A710DF"/>
    <w:rsid w:val="00A71C46"/>
    <w:rsid w:val="00AA5E57"/>
    <w:rsid w:val="00AA7659"/>
    <w:rsid w:val="00AC01AF"/>
    <w:rsid w:val="00AC2531"/>
    <w:rsid w:val="00B04F59"/>
    <w:rsid w:val="00B15C95"/>
    <w:rsid w:val="00B21562"/>
    <w:rsid w:val="00B348F3"/>
    <w:rsid w:val="00BA0DDC"/>
    <w:rsid w:val="00BC7571"/>
    <w:rsid w:val="00BE2AAA"/>
    <w:rsid w:val="00BE4ECC"/>
    <w:rsid w:val="00BE5659"/>
    <w:rsid w:val="00BF3D5E"/>
    <w:rsid w:val="00C222E9"/>
    <w:rsid w:val="00C4407C"/>
    <w:rsid w:val="00C51AC3"/>
    <w:rsid w:val="00C539BB"/>
    <w:rsid w:val="00C563DF"/>
    <w:rsid w:val="00C67AD6"/>
    <w:rsid w:val="00C723B0"/>
    <w:rsid w:val="00C80173"/>
    <w:rsid w:val="00CA1C66"/>
    <w:rsid w:val="00CB6D31"/>
    <w:rsid w:val="00CC2EB9"/>
    <w:rsid w:val="00CC5AA8"/>
    <w:rsid w:val="00CD5993"/>
    <w:rsid w:val="00CE08E5"/>
    <w:rsid w:val="00CE60A7"/>
    <w:rsid w:val="00CF69DB"/>
    <w:rsid w:val="00D078EF"/>
    <w:rsid w:val="00D32FD3"/>
    <w:rsid w:val="00D40D16"/>
    <w:rsid w:val="00D41400"/>
    <w:rsid w:val="00D64540"/>
    <w:rsid w:val="00DB0B86"/>
    <w:rsid w:val="00DB1CBC"/>
    <w:rsid w:val="00DB706C"/>
    <w:rsid w:val="00DC4D0D"/>
    <w:rsid w:val="00DD6845"/>
    <w:rsid w:val="00DE694F"/>
    <w:rsid w:val="00E15838"/>
    <w:rsid w:val="00E34263"/>
    <w:rsid w:val="00E34721"/>
    <w:rsid w:val="00E35B09"/>
    <w:rsid w:val="00E35F35"/>
    <w:rsid w:val="00E41306"/>
    <w:rsid w:val="00E4317E"/>
    <w:rsid w:val="00E5030B"/>
    <w:rsid w:val="00E64758"/>
    <w:rsid w:val="00E77EB9"/>
    <w:rsid w:val="00E817B1"/>
    <w:rsid w:val="00E82B24"/>
    <w:rsid w:val="00E93221"/>
    <w:rsid w:val="00ED0482"/>
    <w:rsid w:val="00ED7434"/>
    <w:rsid w:val="00F03C03"/>
    <w:rsid w:val="00F05415"/>
    <w:rsid w:val="00F10AA0"/>
    <w:rsid w:val="00F3148D"/>
    <w:rsid w:val="00F33E03"/>
    <w:rsid w:val="00F40E72"/>
    <w:rsid w:val="00F411D6"/>
    <w:rsid w:val="00F5271F"/>
    <w:rsid w:val="00F94715"/>
    <w:rsid w:val="00F94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244C"/>
    <w:pPr>
      <w:spacing w:after="120"/>
    </w:pPr>
    <w:rPr>
      <w:sz w:val="20"/>
    </w:rPr>
  </w:style>
  <w:style w:type="paragraph" w:styleId="Heading1">
    <w:name w:val="heading 1"/>
    <w:basedOn w:val="Normal"/>
    <w:next w:val="Normal"/>
    <w:link w:val="Heading1Char"/>
    <w:uiPriority w:val="9"/>
    <w:qFormat/>
    <w:rsid w:val="00647780"/>
    <w:pPr>
      <w:keepNext/>
      <w:keepLines/>
      <w:spacing w:before="360" w:after="240"/>
      <w:outlineLvl w:val="0"/>
    </w:pPr>
    <w:rPr>
      <w:rFonts w:asciiTheme="majorHAnsi" w:eastAsiaTheme="majorEastAsia" w:hAnsiTheme="majorHAnsi" w:cs="Times New Roman (Headings CS)"/>
      <w:b/>
      <w:color w:val="2459A9" w:themeColor="text1"/>
      <w:sz w:val="48"/>
      <w:szCs w:val="32"/>
    </w:rPr>
  </w:style>
  <w:style w:type="paragraph" w:styleId="Heading2">
    <w:name w:val="heading 2"/>
    <w:basedOn w:val="Normal"/>
    <w:next w:val="Normal"/>
    <w:link w:val="Heading2Char"/>
    <w:uiPriority w:val="9"/>
    <w:unhideWhenUsed/>
    <w:qFormat/>
    <w:rsid w:val="00743278"/>
    <w:pPr>
      <w:keepNext/>
      <w:keepLines/>
      <w:spacing w:before="360" w:after="240"/>
      <w:outlineLvl w:val="1"/>
    </w:pPr>
    <w:rPr>
      <w:rFonts w:asciiTheme="majorHAnsi" w:eastAsiaTheme="majorEastAsia" w:hAnsiTheme="majorHAnsi" w:cs="Times New Roman (Headings CS)"/>
      <w:b/>
      <w:color w:val="262B67" w:themeColor="text2"/>
      <w:sz w:val="36"/>
      <w:szCs w:val="26"/>
    </w:rPr>
  </w:style>
  <w:style w:type="paragraph" w:styleId="Heading3">
    <w:name w:val="heading 3"/>
    <w:basedOn w:val="Normal"/>
    <w:next w:val="Normal"/>
    <w:link w:val="Heading3Char"/>
    <w:uiPriority w:val="9"/>
    <w:unhideWhenUsed/>
    <w:qFormat/>
    <w:rsid w:val="004A43B9"/>
    <w:pPr>
      <w:keepNext/>
      <w:keepLines/>
      <w:spacing w:before="240"/>
      <w:outlineLvl w:val="2"/>
    </w:pPr>
    <w:rPr>
      <w:rFonts w:asciiTheme="majorHAnsi" w:eastAsiaTheme="majorEastAsia" w:hAnsiTheme="majorHAnsi" w:cstheme="majorBidi"/>
      <w:b/>
      <w:color w:val="470A68" w:themeColor="accent6"/>
      <w:sz w:val="28"/>
    </w:rPr>
  </w:style>
  <w:style w:type="paragraph" w:styleId="Heading4">
    <w:name w:val="heading 4"/>
    <w:basedOn w:val="Normal"/>
    <w:next w:val="Normal"/>
    <w:link w:val="Heading4Char"/>
    <w:uiPriority w:val="9"/>
    <w:unhideWhenUsed/>
    <w:qFormat/>
    <w:rsid w:val="004A43B9"/>
    <w:pPr>
      <w:keepNext/>
      <w:keepLines/>
      <w:spacing w:before="40" w:after="0"/>
      <w:outlineLvl w:val="3"/>
    </w:pPr>
    <w:rPr>
      <w:rFonts w:asciiTheme="majorHAnsi" w:eastAsiaTheme="majorEastAsia" w:hAnsiTheme="majorHAnsi" w:cstheme="majorBidi"/>
      <w:b/>
      <w:iCs/>
      <w:color w:val="68478D" w:themeColor="accent4"/>
    </w:rPr>
  </w:style>
  <w:style w:type="paragraph" w:styleId="Heading5">
    <w:name w:val="heading 5"/>
    <w:basedOn w:val="Normal"/>
    <w:next w:val="Normal"/>
    <w:link w:val="Heading5Char"/>
    <w:uiPriority w:val="9"/>
    <w:unhideWhenUsed/>
    <w:qFormat/>
    <w:rsid w:val="00647780"/>
    <w:pPr>
      <w:keepNext/>
      <w:keepLines/>
      <w:spacing w:before="120"/>
      <w:outlineLvl w:val="4"/>
    </w:pPr>
    <w:rPr>
      <w:rFonts w:asciiTheme="majorHAnsi" w:eastAsiaTheme="majorEastAsia" w:hAnsiTheme="majorHAnsi" w:cstheme="majorBidi"/>
      <w:b/>
      <w:color w:val="262B67" w:themeColor="text2"/>
    </w:rPr>
  </w:style>
  <w:style w:type="paragraph" w:styleId="Heading6">
    <w:name w:val="heading 6"/>
    <w:basedOn w:val="Normal"/>
    <w:next w:val="Normal"/>
    <w:link w:val="Heading6Char"/>
    <w:uiPriority w:val="9"/>
    <w:unhideWhenUsed/>
    <w:qFormat/>
    <w:rsid w:val="00647780"/>
    <w:pPr>
      <w:keepNext/>
      <w:keepLines/>
      <w:spacing w:before="240"/>
      <w:outlineLvl w:val="5"/>
    </w:pPr>
    <w:rPr>
      <w:rFonts w:asciiTheme="majorHAnsi" w:eastAsiaTheme="majorEastAsia" w:hAnsiTheme="majorHAnsi" w:cstheme="majorBidi"/>
      <w:color w:val="000000"/>
    </w:rPr>
  </w:style>
  <w:style w:type="paragraph" w:styleId="Heading7">
    <w:name w:val="heading 7"/>
    <w:basedOn w:val="Normal"/>
    <w:next w:val="Normal"/>
    <w:link w:val="Heading7Char"/>
    <w:uiPriority w:val="9"/>
    <w:semiHidden/>
    <w:unhideWhenUsed/>
    <w:qFormat/>
    <w:rsid w:val="00727C73"/>
    <w:pPr>
      <w:keepNext/>
      <w:keepLines/>
      <w:spacing w:before="40" w:after="0"/>
      <w:outlineLvl w:val="6"/>
    </w:pPr>
    <w:rPr>
      <w:rFonts w:asciiTheme="majorHAnsi" w:eastAsiaTheme="majorEastAsia" w:hAnsiTheme="majorHAnsi" w:cstheme="majorBidi"/>
      <w:i/>
      <w:iCs/>
      <w:color w:val="262B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647780"/>
    <w:rPr>
      <w:rFonts w:asciiTheme="majorHAnsi" w:eastAsiaTheme="majorEastAsia" w:hAnsiTheme="majorHAnsi" w:cs="Times New Roman (Headings CS)"/>
      <w:b/>
      <w:color w:val="2459A9" w:themeColor="text1"/>
      <w:sz w:val="48"/>
      <w:szCs w:val="32"/>
    </w:rPr>
  </w:style>
  <w:style w:type="paragraph" w:customStyle="1" w:styleId="Intro">
    <w:name w:val="Intro"/>
    <w:basedOn w:val="Normal"/>
    <w:qFormat/>
    <w:rsid w:val="00E41306"/>
    <w:rPr>
      <w:b/>
      <w:color w:val="262B67" w:themeColor="text2"/>
      <w:lang w:val="en-AU"/>
    </w:rPr>
  </w:style>
  <w:style w:type="character" w:customStyle="1" w:styleId="Heading2Char">
    <w:name w:val="Heading 2 Char"/>
    <w:basedOn w:val="DefaultParagraphFont"/>
    <w:link w:val="Heading2"/>
    <w:uiPriority w:val="9"/>
    <w:rsid w:val="00743278"/>
    <w:rPr>
      <w:rFonts w:asciiTheme="majorHAnsi" w:eastAsiaTheme="majorEastAsia" w:hAnsiTheme="majorHAnsi" w:cs="Times New Roman (Headings CS)"/>
      <w:b/>
      <w:color w:val="262B67" w:themeColor="text2"/>
      <w:sz w:val="36"/>
      <w:szCs w:val="26"/>
    </w:rPr>
  </w:style>
  <w:style w:type="character" w:customStyle="1" w:styleId="Heading3Char">
    <w:name w:val="Heading 3 Char"/>
    <w:basedOn w:val="DefaultParagraphFont"/>
    <w:link w:val="Heading3"/>
    <w:uiPriority w:val="9"/>
    <w:rsid w:val="004A43B9"/>
    <w:rPr>
      <w:rFonts w:asciiTheme="majorHAnsi" w:eastAsiaTheme="majorEastAsia" w:hAnsiTheme="majorHAnsi" w:cstheme="majorBidi"/>
      <w:b/>
      <w:color w:val="470A68" w:themeColor="accent6"/>
      <w:sz w:val="28"/>
    </w:rPr>
  </w:style>
  <w:style w:type="paragraph" w:styleId="Quote">
    <w:name w:val="Quote"/>
    <w:basedOn w:val="Normal"/>
    <w:next w:val="Normal"/>
    <w:link w:val="QuoteChar"/>
    <w:uiPriority w:val="29"/>
    <w:qFormat/>
    <w:rsid w:val="002E3BED"/>
    <w:pPr>
      <w:spacing w:before="120"/>
      <w:ind w:left="284" w:right="284"/>
    </w:pPr>
    <w:rPr>
      <w:i/>
      <w:iCs/>
      <w:color w:val="262B67" w:themeColor="text2"/>
    </w:rPr>
  </w:style>
  <w:style w:type="character" w:customStyle="1" w:styleId="QuoteChar">
    <w:name w:val="Quote Char"/>
    <w:basedOn w:val="DefaultParagraphFont"/>
    <w:link w:val="Quote"/>
    <w:uiPriority w:val="29"/>
    <w:rsid w:val="002E3BED"/>
    <w:rPr>
      <w:i/>
      <w:iCs/>
      <w:color w:val="262B67"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aliases w:val="VCGLR Table 1"/>
    <w:basedOn w:val="TableNormal"/>
    <w:uiPriority w:val="39"/>
    <w:rsid w:val="00E82B24"/>
    <w:rPr>
      <w:sz w:val="20"/>
      <w:lang w:val="en-AU"/>
    </w:rPr>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cPr>
      <w:shd w:val="clear" w:color="auto" w:fill="auto"/>
      <w:tcMar>
        <w:top w:w="57" w:type="dxa"/>
        <w:bottom w:w="57" w:type="dxa"/>
      </w:tcMar>
    </w:tcPr>
    <w:tblStylePr w:type="firstRow">
      <w:rPr>
        <w:rFonts w:ascii="Arial" w:hAnsi="Arial"/>
        <w:b/>
        <w:i w:val="0"/>
        <w:color w:val="FFFFFF" w:themeColor="background1"/>
        <w:sz w:val="22"/>
      </w:rPr>
      <w:tblPr/>
      <w:tcPr>
        <w:shd w:val="clear" w:color="auto" w:fill="2459A9" w:themeFill="text1"/>
      </w:tcPr>
    </w:tblStylePr>
    <w:tblStylePr w:type="firstCol">
      <w:rPr>
        <w:color w:val="2459A9" w:themeColor="text1"/>
      </w:rPr>
    </w:tblStylePr>
  </w:style>
  <w:style w:type="paragraph" w:customStyle="1" w:styleId="Tableheader">
    <w:name w:val="Table header"/>
    <w:basedOn w:val="Normal"/>
    <w:qFormat/>
    <w:rsid w:val="00743278"/>
    <w:pPr>
      <w:spacing w:before="120"/>
    </w:pPr>
    <w:rPr>
      <w:b/>
      <w:color w:val="262B67" w:themeColor="text2"/>
      <w:lang w:val="en-AU"/>
    </w:rPr>
  </w:style>
  <w:style w:type="paragraph" w:customStyle="1" w:styleId="Tablebody">
    <w:name w:val="Table body"/>
    <w:basedOn w:val="Normal"/>
    <w:qFormat/>
    <w:rsid w:val="008B22C0"/>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4C97" w:themeColor="hyperlink"/>
      <w:u w:val="single"/>
    </w:rPr>
  </w:style>
  <w:style w:type="paragraph" w:customStyle="1" w:styleId="Tableheaderwhite">
    <w:name w:val="Table header white"/>
    <w:basedOn w:val="Tableheader"/>
    <w:qFormat/>
    <w:rsid w:val="00727C73"/>
    <w:rPr>
      <w:color w:val="FFFFFF" w:themeColor="background1"/>
    </w:rPr>
  </w:style>
  <w:style w:type="character" w:styleId="FollowedHyperlink">
    <w:name w:val="FollowedHyperlink"/>
    <w:basedOn w:val="DefaultParagraphFont"/>
    <w:uiPriority w:val="99"/>
    <w:semiHidden/>
    <w:unhideWhenUsed/>
    <w:rsid w:val="00E64758"/>
    <w:rPr>
      <w:color w:val="003F54" w:themeColor="followedHyperlink"/>
      <w:u w:val="single"/>
    </w:rPr>
  </w:style>
  <w:style w:type="character" w:customStyle="1" w:styleId="Heading7Char">
    <w:name w:val="Heading 7 Char"/>
    <w:basedOn w:val="DefaultParagraphFont"/>
    <w:link w:val="Heading7"/>
    <w:uiPriority w:val="9"/>
    <w:semiHidden/>
    <w:rsid w:val="00727C73"/>
    <w:rPr>
      <w:rFonts w:asciiTheme="majorHAnsi" w:eastAsiaTheme="majorEastAsia" w:hAnsiTheme="majorHAnsi" w:cstheme="majorBidi"/>
      <w:i/>
      <w:iCs/>
      <w:color w:val="262B67" w:themeColor="text2"/>
      <w:sz w:val="22"/>
    </w:rPr>
  </w:style>
  <w:style w:type="character" w:customStyle="1" w:styleId="Heading4Char">
    <w:name w:val="Heading 4 Char"/>
    <w:basedOn w:val="DefaultParagraphFont"/>
    <w:link w:val="Heading4"/>
    <w:uiPriority w:val="9"/>
    <w:rsid w:val="004A43B9"/>
    <w:rPr>
      <w:rFonts w:asciiTheme="majorHAnsi" w:eastAsiaTheme="majorEastAsia" w:hAnsiTheme="majorHAnsi" w:cstheme="majorBidi"/>
      <w:b/>
      <w:iCs/>
      <w:color w:val="68478D" w:themeColor="accent4"/>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2459A9"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2459A9" w:themeColor="text1"/>
      <w:spacing w:val="15"/>
      <w:sz w:val="22"/>
      <w:szCs w:val="22"/>
    </w:rPr>
  </w:style>
  <w:style w:type="character" w:styleId="SubtleEmphasis">
    <w:name w:val="Subtle Emphasis"/>
    <w:basedOn w:val="DefaultParagraphFont"/>
    <w:uiPriority w:val="19"/>
    <w:qFormat/>
    <w:rsid w:val="00F94715"/>
    <w:rPr>
      <w:i/>
      <w:iCs/>
      <w:color w:val="2459A9" w:themeColor="text1"/>
    </w:rPr>
  </w:style>
  <w:style w:type="character" w:styleId="IntenseEmphasis">
    <w:name w:val="Intense Emphasis"/>
    <w:basedOn w:val="DefaultParagraphFont"/>
    <w:uiPriority w:val="21"/>
    <w:qFormat/>
    <w:rsid w:val="00F94715"/>
    <w:rPr>
      <w:i/>
      <w:iCs/>
      <w:color w:val="2459A9" w:themeColor="text1"/>
    </w:rPr>
  </w:style>
  <w:style w:type="character" w:customStyle="1" w:styleId="Heading5Char">
    <w:name w:val="Heading 5 Char"/>
    <w:basedOn w:val="DefaultParagraphFont"/>
    <w:link w:val="Heading5"/>
    <w:uiPriority w:val="9"/>
    <w:rsid w:val="00647780"/>
    <w:rPr>
      <w:rFonts w:asciiTheme="majorHAnsi" w:eastAsiaTheme="majorEastAsia" w:hAnsiTheme="majorHAnsi" w:cstheme="majorBidi"/>
      <w:b/>
      <w:color w:val="262B67" w:themeColor="text2"/>
      <w:sz w:val="22"/>
    </w:rPr>
  </w:style>
  <w:style w:type="character" w:customStyle="1" w:styleId="Heading6Char">
    <w:name w:val="Heading 6 Char"/>
    <w:basedOn w:val="DefaultParagraphFont"/>
    <w:link w:val="Heading6"/>
    <w:uiPriority w:val="9"/>
    <w:rsid w:val="00647780"/>
    <w:rPr>
      <w:rFonts w:asciiTheme="majorHAnsi" w:eastAsiaTheme="majorEastAsia" w:hAnsiTheme="majorHAnsi" w:cstheme="majorBidi"/>
      <w:color w:val="000000"/>
      <w:sz w:val="22"/>
    </w:rPr>
  </w:style>
  <w:style w:type="table" w:styleId="PlainTable2">
    <w:name w:val="Plain Table 2"/>
    <w:basedOn w:val="TableNormal"/>
    <w:uiPriority w:val="42"/>
    <w:rsid w:val="00F03C03"/>
    <w:tblPr>
      <w:tblStyleRowBandSize w:val="1"/>
      <w:tblStyleColBandSize w:val="1"/>
      <w:tblBorders>
        <w:top w:val="single" w:sz="4" w:space="0" w:color="80A7E4" w:themeColor="text1" w:themeTint="80"/>
        <w:bottom w:val="single" w:sz="4" w:space="0" w:color="80A7E4" w:themeColor="text1" w:themeTint="80"/>
      </w:tblBorders>
    </w:tblPr>
    <w:tblStylePr w:type="firstRow">
      <w:rPr>
        <w:b/>
        <w:bCs/>
      </w:rPr>
      <w:tblPr/>
      <w:tcPr>
        <w:tcBorders>
          <w:bottom w:val="single" w:sz="4" w:space="0" w:color="80A7E4" w:themeColor="text1" w:themeTint="80"/>
        </w:tcBorders>
      </w:tcPr>
    </w:tblStylePr>
    <w:tblStylePr w:type="lastRow">
      <w:rPr>
        <w:b/>
        <w:bCs/>
      </w:rPr>
      <w:tblPr/>
      <w:tcPr>
        <w:tcBorders>
          <w:top w:val="single" w:sz="4" w:space="0" w:color="80A7E4" w:themeColor="text1" w:themeTint="80"/>
        </w:tcBorders>
      </w:tcPr>
    </w:tblStylePr>
    <w:tblStylePr w:type="firstCol">
      <w:rPr>
        <w:b/>
        <w:bCs/>
      </w:rPr>
    </w:tblStylePr>
    <w:tblStylePr w:type="lastCol">
      <w:rPr>
        <w:b/>
        <w:bCs/>
      </w:rPr>
    </w:tblStylePr>
    <w:tblStylePr w:type="band1Vert">
      <w:tblPr/>
      <w:tcPr>
        <w:tcBorders>
          <w:left w:val="single" w:sz="4" w:space="0" w:color="80A7E4" w:themeColor="text1" w:themeTint="80"/>
          <w:right w:val="single" w:sz="4" w:space="0" w:color="80A7E4" w:themeColor="text1" w:themeTint="80"/>
        </w:tcBorders>
      </w:tcPr>
    </w:tblStylePr>
    <w:tblStylePr w:type="band2Vert">
      <w:tblPr/>
      <w:tcPr>
        <w:tcBorders>
          <w:left w:val="single" w:sz="4" w:space="0" w:color="80A7E4" w:themeColor="text1" w:themeTint="80"/>
          <w:right w:val="single" w:sz="4" w:space="0" w:color="80A7E4" w:themeColor="text1" w:themeTint="80"/>
        </w:tcBorders>
      </w:tcPr>
    </w:tblStylePr>
    <w:tblStylePr w:type="band1Horz">
      <w:tblPr/>
      <w:tcPr>
        <w:tcBorders>
          <w:top w:val="single" w:sz="4" w:space="0" w:color="80A7E4" w:themeColor="text1" w:themeTint="80"/>
          <w:bottom w:val="single" w:sz="4" w:space="0" w:color="80A7E4" w:themeColor="text1" w:themeTint="80"/>
        </w:tcBorders>
      </w:tcPr>
    </w:tblStylePr>
  </w:style>
  <w:style w:type="table" w:styleId="PlainTable5">
    <w:name w:val="Plain Table 5"/>
    <w:basedOn w:val="TableNormal"/>
    <w:uiPriority w:val="45"/>
    <w:rsid w:val="00F03C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A7E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A7E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A7E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A7E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03C03"/>
    <w:tblPr>
      <w:tblStyleRowBandSize w:val="1"/>
      <w:tblStyleColBandSize w:val="1"/>
      <w:tblBorders>
        <w:top w:val="single" w:sz="4" w:space="0" w:color="9AB9E9" w:themeColor="text1" w:themeTint="66"/>
        <w:left w:val="single" w:sz="4" w:space="0" w:color="9AB9E9" w:themeColor="text1" w:themeTint="66"/>
        <w:bottom w:val="single" w:sz="4" w:space="0" w:color="9AB9E9" w:themeColor="text1" w:themeTint="66"/>
        <w:right w:val="single" w:sz="4" w:space="0" w:color="9AB9E9" w:themeColor="text1" w:themeTint="66"/>
        <w:insideH w:val="single" w:sz="4" w:space="0" w:color="9AB9E9" w:themeColor="text1" w:themeTint="66"/>
        <w:insideV w:val="single" w:sz="4" w:space="0" w:color="9AB9E9" w:themeColor="text1" w:themeTint="66"/>
      </w:tblBorders>
    </w:tblPr>
    <w:tblStylePr w:type="firstRow">
      <w:rPr>
        <w:b/>
        <w:bCs/>
      </w:rPr>
      <w:tblPr/>
      <w:tcPr>
        <w:tcBorders>
          <w:bottom w:val="single" w:sz="12" w:space="0" w:color="6897DE" w:themeColor="text1" w:themeTint="99"/>
        </w:tcBorders>
      </w:tcPr>
    </w:tblStylePr>
    <w:tblStylePr w:type="lastRow">
      <w:rPr>
        <w:b/>
        <w:bCs/>
      </w:rPr>
      <w:tblPr/>
      <w:tcPr>
        <w:tcBorders>
          <w:top w:val="double" w:sz="2" w:space="0" w:color="6897DE"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03C03"/>
    <w:tblPr>
      <w:tblStyleRowBandSize w:val="1"/>
      <w:tblStyleColBandSize w:val="1"/>
      <w:tblBorders>
        <w:top w:val="single" w:sz="4" w:space="0" w:color="ACE2B2" w:themeColor="accent1" w:themeTint="66"/>
        <w:left w:val="single" w:sz="4" w:space="0" w:color="ACE2B2" w:themeColor="accent1" w:themeTint="66"/>
        <w:bottom w:val="single" w:sz="4" w:space="0" w:color="ACE2B2" w:themeColor="accent1" w:themeTint="66"/>
        <w:right w:val="single" w:sz="4" w:space="0" w:color="ACE2B2" w:themeColor="accent1" w:themeTint="66"/>
        <w:insideH w:val="single" w:sz="4" w:space="0" w:color="ACE2B2" w:themeColor="accent1" w:themeTint="66"/>
        <w:insideV w:val="single" w:sz="4" w:space="0" w:color="ACE2B2" w:themeColor="accent1" w:themeTint="66"/>
      </w:tblBorders>
    </w:tblPr>
    <w:tblStylePr w:type="firstRow">
      <w:rPr>
        <w:b/>
        <w:bCs/>
      </w:rPr>
      <w:tblPr/>
      <w:tcPr>
        <w:tcBorders>
          <w:bottom w:val="single" w:sz="12" w:space="0" w:color="83D48C" w:themeColor="accent1" w:themeTint="99"/>
        </w:tcBorders>
      </w:tcPr>
    </w:tblStylePr>
    <w:tblStylePr w:type="lastRow">
      <w:rPr>
        <w:b/>
        <w:bCs/>
      </w:rPr>
      <w:tblPr/>
      <w:tcPr>
        <w:tcBorders>
          <w:top w:val="double" w:sz="2" w:space="0" w:color="83D48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03C03"/>
    <w:tblPr>
      <w:tblStyleRowBandSize w:val="1"/>
      <w:tblStyleColBandSize w:val="1"/>
      <w:tblBorders>
        <w:top w:val="single" w:sz="4" w:space="0" w:color="F5B8B0" w:themeColor="accent3" w:themeTint="66"/>
        <w:left w:val="single" w:sz="4" w:space="0" w:color="F5B8B0" w:themeColor="accent3" w:themeTint="66"/>
        <w:bottom w:val="single" w:sz="4" w:space="0" w:color="F5B8B0" w:themeColor="accent3" w:themeTint="66"/>
        <w:right w:val="single" w:sz="4" w:space="0" w:color="F5B8B0" w:themeColor="accent3" w:themeTint="66"/>
        <w:insideH w:val="single" w:sz="4" w:space="0" w:color="F5B8B0" w:themeColor="accent3" w:themeTint="66"/>
        <w:insideV w:val="single" w:sz="4" w:space="0" w:color="F5B8B0" w:themeColor="accent3" w:themeTint="66"/>
      </w:tblBorders>
    </w:tblPr>
    <w:tblStylePr w:type="firstRow">
      <w:rPr>
        <w:b/>
        <w:bCs/>
      </w:rPr>
      <w:tblPr/>
      <w:tcPr>
        <w:tcBorders>
          <w:bottom w:val="single" w:sz="12" w:space="0" w:color="F09489" w:themeColor="accent3" w:themeTint="99"/>
        </w:tcBorders>
      </w:tcPr>
    </w:tblStylePr>
    <w:tblStylePr w:type="lastRow">
      <w:rPr>
        <w:b/>
        <w:bCs/>
      </w:rPr>
      <w:tblPr/>
      <w:tcPr>
        <w:tcBorders>
          <w:top w:val="double" w:sz="2" w:space="0" w:color="F09489"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F03C03"/>
    <w:tblPr>
      <w:tblStyleRowBandSize w:val="1"/>
      <w:tblStyleColBandSize w:val="1"/>
      <w:tblBorders>
        <w:top w:val="single" w:sz="2" w:space="0" w:color="6897DE" w:themeColor="text1" w:themeTint="99"/>
        <w:bottom w:val="single" w:sz="2" w:space="0" w:color="6897DE" w:themeColor="text1" w:themeTint="99"/>
        <w:insideH w:val="single" w:sz="2" w:space="0" w:color="6897DE" w:themeColor="text1" w:themeTint="99"/>
        <w:insideV w:val="single" w:sz="2" w:space="0" w:color="6897DE" w:themeColor="text1" w:themeTint="99"/>
      </w:tblBorders>
    </w:tblPr>
    <w:tblStylePr w:type="firstRow">
      <w:rPr>
        <w:b/>
        <w:bCs/>
      </w:rPr>
      <w:tblPr/>
      <w:tcPr>
        <w:tcBorders>
          <w:top w:val="nil"/>
          <w:bottom w:val="single" w:sz="12" w:space="0" w:color="6897DE" w:themeColor="text1" w:themeTint="99"/>
          <w:insideH w:val="nil"/>
          <w:insideV w:val="nil"/>
        </w:tcBorders>
        <w:shd w:val="clear" w:color="auto" w:fill="FFFFFF" w:themeFill="background1"/>
      </w:tcPr>
    </w:tblStylePr>
    <w:tblStylePr w:type="lastRow">
      <w:rPr>
        <w:b/>
        <w:bCs/>
      </w:rPr>
      <w:tblPr/>
      <w:tcPr>
        <w:tcBorders>
          <w:top w:val="double" w:sz="2" w:space="0" w:color="6897D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GridTable3">
    <w:name w:val="Grid Table 3"/>
    <w:basedOn w:val="TableNormal"/>
    <w:uiPriority w:val="48"/>
    <w:rsid w:val="00F03C03"/>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CF4" w:themeFill="text1" w:themeFillTint="33"/>
      </w:tcPr>
    </w:tblStylePr>
    <w:tblStylePr w:type="band1Horz">
      <w:tblPr/>
      <w:tcPr>
        <w:shd w:val="clear" w:color="auto" w:fill="CCDCF4" w:themeFill="text1" w:themeFillTint="33"/>
      </w:tcPr>
    </w:tblStylePr>
    <w:tblStylePr w:type="neCell">
      <w:tblPr/>
      <w:tcPr>
        <w:tcBorders>
          <w:bottom w:val="single" w:sz="4" w:space="0" w:color="6897DE" w:themeColor="text1" w:themeTint="99"/>
        </w:tcBorders>
      </w:tcPr>
    </w:tblStylePr>
    <w:tblStylePr w:type="nwCell">
      <w:tblPr/>
      <w:tcPr>
        <w:tcBorders>
          <w:bottom w:val="single" w:sz="4" w:space="0" w:color="6897DE" w:themeColor="text1" w:themeTint="99"/>
        </w:tcBorders>
      </w:tcPr>
    </w:tblStylePr>
    <w:tblStylePr w:type="seCell">
      <w:tblPr/>
      <w:tcPr>
        <w:tcBorders>
          <w:top w:val="single" w:sz="4" w:space="0" w:color="6897DE" w:themeColor="text1" w:themeTint="99"/>
        </w:tcBorders>
      </w:tcPr>
    </w:tblStylePr>
    <w:tblStylePr w:type="swCell">
      <w:tblPr/>
      <w:tcPr>
        <w:tcBorders>
          <w:top w:val="single" w:sz="4" w:space="0" w:color="6897DE" w:themeColor="text1" w:themeTint="99"/>
        </w:tcBorders>
      </w:tcPr>
    </w:tblStylePr>
  </w:style>
  <w:style w:type="table" w:styleId="GridTable3-Accent2">
    <w:name w:val="Grid Table 3 Accent 2"/>
    <w:basedOn w:val="TableNormal"/>
    <w:uiPriority w:val="48"/>
    <w:rsid w:val="00F03C03"/>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2" w:themeFillTint="33"/>
      </w:tcPr>
    </w:tblStylePr>
    <w:tblStylePr w:type="band1Horz">
      <w:tblPr/>
      <w:tcPr>
        <w:shd w:val="clear" w:color="auto" w:fill="C4EAFF" w:themeFill="accent2" w:themeFillTint="33"/>
      </w:tcPr>
    </w:tblStylePr>
    <w:tblStylePr w:type="neCell">
      <w:tblPr/>
      <w:tcPr>
        <w:tcBorders>
          <w:bottom w:val="single" w:sz="4" w:space="0" w:color="4FC3FF" w:themeColor="accent2" w:themeTint="99"/>
        </w:tcBorders>
      </w:tcPr>
    </w:tblStylePr>
    <w:tblStylePr w:type="nwCell">
      <w:tblPr/>
      <w:tcPr>
        <w:tcBorders>
          <w:bottom w:val="single" w:sz="4" w:space="0" w:color="4FC3FF" w:themeColor="accent2" w:themeTint="99"/>
        </w:tcBorders>
      </w:tcPr>
    </w:tblStylePr>
    <w:tblStylePr w:type="seCell">
      <w:tblPr/>
      <w:tcPr>
        <w:tcBorders>
          <w:top w:val="single" w:sz="4" w:space="0" w:color="4FC3FF" w:themeColor="accent2" w:themeTint="99"/>
        </w:tcBorders>
      </w:tcPr>
    </w:tblStylePr>
    <w:tblStylePr w:type="swCell">
      <w:tblPr/>
      <w:tcPr>
        <w:tcBorders>
          <w:top w:val="single" w:sz="4" w:space="0" w:color="4FC3FF" w:themeColor="accent2" w:themeTint="99"/>
        </w:tcBorders>
      </w:tcPr>
    </w:tblStylePr>
  </w:style>
  <w:style w:type="paragraph" w:customStyle="1" w:styleId="Coverpageheading">
    <w:name w:val="Cover page heading"/>
    <w:basedOn w:val="Heading1"/>
    <w:qFormat/>
    <w:rsid w:val="00CB6D31"/>
    <w:pPr>
      <w:outlineLvl w:val="9"/>
    </w:pPr>
    <w:rPr>
      <w:color w:val="262B67" w:themeColor="text2"/>
      <w:sz w:val="52"/>
      <w:szCs w:val="36"/>
      <w:lang w:val="en-AU"/>
    </w:rPr>
  </w:style>
  <w:style w:type="paragraph" w:styleId="TOCHeading">
    <w:name w:val="TOC Heading"/>
    <w:basedOn w:val="Heading1"/>
    <w:next w:val="Normal"/>
    <w:uiPriority w:val="39"/>
    <w:unhideWhenUsed/>
    <w:qFormat/>
    <w:rsid w:val="00297164"/>
    <w:pPr>
      <w:spacing w:before="480" w:after="0" w:line="276" w:lineRule="auto"/>
      <w:outlineLvl w:val="9"/>
    </w:pPr>
    <w:rPr>
      <w:rFonts w:cstheme="majorBidi"/>
      <w:bCs/>
      <w:szCs w:val="28"/>
      <w:lang w:val="en-US"/>
    </w:rPr>
  </w:style>
  <w:style w:type="paragraph" w:styleId="TOC1">
    <w:name w:val="toc 1"/>
    <w:basedOn w:val="Normal"/>
    <w:next w:val="Normal"/>
    <w:autoRedefine/>
    <w:uiPriority w:val="39"/>
    <w:unhideWhenUsed/>
    <w:rsid w:val="005C1D6D"/>
    <w:pPr>
      <w:spacing w:before="120" w:after="0"/>
    </w:pPr>
    <w:rPr>
      <w:rFonts w:cs="Arial (Body)"/>
      <w:b/>
      <w:bCs/>
      <w:iCs/>
    </w:rPr>
  </w:style>
  <w:style w:type="paragraph" w:styleId="TOC2">
    <w:name w:val="toc 2"/>
    <w:basedOn w:val="Normal"/>
    <w:next w:val="Normal"/>
    <w:autoRedefine/>
    <w:uiPriority w:val="39"/>
    <w:unhideWhenUsed/>
    <w:rsid w:val="00612327"/>
    <w:pPr>
      <w:spacing w:before="120" w:after="0"/>
      <w:ind w:left="220"/>
    </w:pPr>
    <w:rPr>
      <w:rFonts w:cstheme="minorHAnsi"/>
      <w:bCs/>
      <w:szCs w:val="22"/>
    </w:rPr>
  </w:style>
  <w:style w:type="paragraph" w:styleId="TOC3">
    <w:name w:val="toc 3"/>
    <w:basedOn w:val="Normal"/>
    <w:next w:val="Normal"/>
    <w:autoRedefine/>
    <w:uiPriority w:val="39"/>
    <w:unhideWhenUsed/>
    <w:rsid w:val="005C1D6D"/>
    <w:pPr>
      <w:spacing w:before="120" w:after="0"/>
      <w:ind w:left="442"/>
    </w:pPr>
    <w:rPr>
      <w:rFonts w:cstheme="minorHAnsi"/>
      <w:szCs w:val="20"/>
    </w:rPr>
  </w:style>
  <w:style w:type="paragraph" w:styleId="TOC4">
    <w:name w:val="toc 4"/>
    <w:basedOn w:val="Normal"/>
    <w:next w:val="Normal"/>
    <w:autoRedefine/>
    <w:uiPriority w:val="39"/>
    <w:semiHidden/>
    <w:unhideWhenUsed/>
    <w:rsid w:val="005C1D6D"/>
    <w:pPr>
      <w:spacing w:after="0"/>
      <w:ind w:left="660"/>
    </w:pPr>
    <w:rPr>
      <w:rFonts w:cstheme="minorHAnsi"/>
      <w:szCs w:val="20"/>
    </w:rPr>
  </w:style>
  <w:style w:type="paragraph" w:styleId="TOC5">
    <w:name w:val="toc 5"/>
    <w:basedOn w:val="Normal"/>
    <w:next w:val="Normal"/>
    <w:autoRedefine/>
    <w:uiPriority w:val="39"/>
    <w:semiHidden/>
    <w:unhideWhenUsed/>
    <w:rsid w:val="005C1D6D"/>
    <w:pPr>
      <w:spacing w:after="0"/>
      <w:ind w:left="880"/>
    </w:pPr>
    <w:rPr>
      <w:rFonts w:cstheme="minorHAnsi"/>
      <w:szCs w:val="20"/>
    </w:rPr>
  </w:style>
  <w:style w:type="paragraph" w:styleId="TOC6">
    <w:name w:val="toc 6"/>
    <w:basedOn w:val="Normal"/>
    <w:next w:val="Normal"/>
    <w:autoRedefine/>
    <w:uiPriority w:val="39"/>
    <w:semiHidden/>
    <w:unhideWhenUsed/>
    <w:rsid w:val="005C1D6D"/>
    <w:pPr>
      <w:spacing w:after="0"/>
      <w:ind w:left="1100"/>
    </w:pPr>
    <w:rPr>
      <w:rFonts w:cstheme="minorHAnsi"/>
      <w:szCs w:val="20"/>
    </w:rPr>
  </w:style>
  <w:style w:type="paragraph" w:styleId="TOC7">
    <w:name w:val="toc 7"/>
    <w:basedOn w:val="Normal"/>
    <w:next w:val="Normal"/>
    <w:autoRedefine/>
    <w:uiPriority w:val="39"/>
    <w:semiHidden/>
    <w:unhideWhenUsed/>
    <w:rsid w:val="005C1D6D"/>
    <w:pPr>
      <w:spacing w:after="0"/>
      <w:ind w:left="1320"/>
    </w:pPr>
    <w:rPr>
      <w:rFonts w:cstheme="minorHAnsi"/>
      <w:szCs w:val="20"/>
    </w:rPr>
  </w:style>
  <w:style w:type="paragraph" w:styleId="TOC8">
    <w:name w:val="toc 8"/>
    <w:basedOn w:val="Normal"/>
    <w:next w:val="Normal"/>
    <w:autoRedefine/>
    <w:uiPriority w:val="39"/>
    <w:semiHidden/>
    <w:unhideWhenUsed/>
    <w:rsid w:val="005C1D6D"/>
    <w:pPr>
      <w:spacing w:after="0"/>
      <w:ind w:left="1540"/>
    </w:pPr>
    <w:rPr>
      <w:rFonts w:cstheme="minorHAnsi"/>
      <w:szCs w:val="20"/>
    </w:rPr>
  </w:style>
  <w:style w:type="paragraph" w:styleId="TOC9">
    <w:name w:val="toc 9"/>
    <w:basedOn w:val="Normal"/>
    <w:next w:val="Normal"/>
    <w:autoRedefine/>
    <w:uiPriority w:val="39"/>
    <w:semiHidden/>
    <w:unhideWhenUsed/>
    <w:rsid w:val="005C1D6D"/>
    <w:pPr>
      <w:spacing w:after="0"/>
      <w:ind w:left="1760"/>
    </w:pPr>
    <w:rPr>
      <w:rFonts w:cstheme="minorHAnsi"/>
      <w:szCs w:val="20"/>
    </w:rPr>
  </w:style>
  <w:style w:type="paragraph" w:customStyle="1" w:styleId="Acttextitalic">
    <w:name w:val="Act text italic"/>
    <w:basedOn w:val="Normal"/>
    <w:qFormat/>
    <w:rsid w:val="00BE2AAA"/>
    <w:rPr>
      <w:i/>
      <w:iCs/>
      <w:lang w:val="en-AU"/>
    </w:rPr>
  </w:style>
  <w:style w:type="table" w:styleId="GridTable6Colourful">
    <w:name w:val="Grid Table 6 Colorful"/>
    <w:basedOn w:val="TableNormal"/>
    <w:uiPriority w:val="51"/>
    <w:rsid w:val="00F9473B"/>
    <w:rPr>
      <w:color w:val="2459A9" w:themeColor="text1"/>
    </w:rPr>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rPr>
      <w:tblPr/>
      <w:tcPr>
        <w:tcBorders>
          <w:bottom w:val="single" w:sz="12" w:space="0" w:color="6897DE" w:themeColor="text1" w:themeTint="99"/>
        </w:tcBorders>
      </w:tcPr>
    </w:tblStylePr>
    <w:tblStylePr w:type="lastRow">
      <w:rPr>
        <w:b/>
        <w:bCs/>
      </w:rPr>
      <w:tblPr/>
      <w:tcPr>
        <w:tcBorders>
          <w:top w:val="double" w:sz="4" w:space="0" w:color="6897DE" w:themeColor="text1" w:themeTint="99"/>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GridTable4">
    <w:name w:val="Grid Table 4"/>
    <w:aliases w:val="VCGLR TABLE 1"/>
    <w:basedOn w:val="TableNormal"/>
    <w:uiPriority w:val="49"/>
    <w:rsid w:val="00743278"/>
    <w:rPr>
      <w:lang w:val="en-AU"/>
    </w:rPr>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insideV w:val="nil"/>
        </w:tcBorders>
        <w:shd w:val="clear" w:color="auto" w:fill="2459A9" w:themeFill="text1"/>
      </w:tcPr>
    </w:tblStylePr>
    <w:tblStylePr w:type="lastRow">
      <w:rPr>
        <w:b/>
        <w:bCs/>
      </w:rPr>
      <w:tblPr/>
      <w:tcPr>
        <w:tcBorders>
          <w:top w:val="double" w:sz="4" w:space="0" w:color="2459A9" w:themeColor="text1"/>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GridTable2-Accent1">
    <w:name w:val="Grid Table 2 Accent 1"/>
    <w:basedOn w:val="TableNormal"/>
    <w:uiPriority w:val="47"/>
    <w:rsid w:val="00DB706C"/>
    <w:tblPr>
      <w:tblStyleRowBandSize w:val="1"/>
      <w:tblStyleColBandSize w:val="1"/>
      <w:tblBorders>
        <w:top w:val="single" w:sz="2" w:space="0" w:color="83D48C" w:themeColor="accent1" w:themeTint="99"/>
        <w:bottom w:val="single" w:sz="2" w:space="0" w:color="83D48C" w:themeColor="accent1" w:themeTint="99"/>
        <w:insideH w:val="single" w:sz="2" w:space="0" w:color="83D48C" w:themeColor="accent1" w:themeTint="99"/>
        <w:insideV w:val="single" w:sz="2" w:space="0" w:color="83D48C" w:themeColor="accent1" w:themeTint="99"/>
      </w:tblBorders>
    </w:tblPr>
    <w:tblStylePr w:type="firstRow">
      <w:rPr>
        <w:b/>
        <w:bCs/>
      </w:rPr>
      <w:tblPr/>
      <w:tcPr>
        <w:tcBorders>
          <w:top w:val="nil"/>
          <w:bottom w:val="single" w:sz="12" w:space="0" w:color="83D48C" w:themeColor="accent1" w:themeTint="99"/>
          <w:insideH w:val="nil"/>
          <w:insideV w:val="nil"/>
        </w:tcBorders>
        <w:shd w:val="clear" w:color="auto" w:fill="FFFFFF" w:themeFill="background1"/>
      </w:tcPr>
    </w:tblStylePr>
    <w:tblStylePr w:type="lastRow">
      <w:rPr>
        <w:b/>
        <w:bCs/>
      </w:rPr>
      <w:tblPr/>
      <w:tcPr>
        <w:tcBorders>
          <w:top w:val="double" w:sz="2" w:space="0" w:color="83D48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F0D8" w:themeFill="accent1" w:themeFillTint="33"/>
      </w:tcPr>
    </w:tblStylePr>
    <w:tblStylePr w:type="band1Horz">
      <w:tblPr/>
      <w:tcPr>
        <w:shd w:val="clear" w:color="auto" w:fill="D5F0D8" w:themeFill="accent1" w:themeFillTint="33"/>
      </w:tcPr>
    </w:tblStylePr>
  </w:style>
  <w:style w:type="table" w:styleId="GridTable5Dark-Accent1">
    <w:name w:val="Grid Table 5 Dark Accent 1"/>
    <w:basedOn w:val="TableNormal"/>
    <w:uiPriority w:val="50"/>
    <w:rsid w:val="00DB70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0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E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E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E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E49" w:themeFill="accent1"/>
      </w:tcPr>
    </w:tblStylePr>
    <w:tblStylePr w:type="band1Vert">
      <w:tblPr/>
      <w:tcPr>
        <w:shd w:val="clear" w:color="auto" w:fill="ACE2B2" w:themeFill="accent1" w:themeFillTint="66"/>
      </w:tcPr>
    </w:tblStylePr>
    <w:tblStylePr w:type="band1Horz">
      <w:tblPr/>
      <w:tcPr>
        <w:shd w:val="clear" w:color="auto" w:fill="ACE2B2" w:themeFill="accent1" w:themeFillTint="66"/>
      </w:tcPr>
    </w:tblStylePr>
  </w:style>
  <w:style w:type="table" w:styleId="GridTable5Dark-Accent2">
    <w:name w:val="Grid Table 5 Dark Accent 2"/>
    <w:basedOn w:val="TableNormal"/>
    <w:uiPriority w:val="50"/>
    <w:rsid w:val="00DB70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A" w:themeFill="accent2"/>
      </w:tcPr>
    </w:tblStylePr>
    <w:tblStylePr w:type="band1Vert">
      <w:tblPr/>
      <w:tcPr>
        <w:shd w:val="clear" w:color="auto" w:fill="8AD7FF" w:themeFill="accent2" w:themeFillTint="66"/>
      </w:tcPr>
    </w:tblStylePr>
    <w:tblStylePr w:type="band1Horz">
      <w:tblPr/>
      <w:tcPr>
        <w:shd w:val="clear" w:color="auto" w:fill="8AD7FF" w:themeFill="accent2" w:themeFillTint="66"/>
      </w:tcPr>
    </w:tblStylePr>
  </w:style>
  <w:style w:type="table" w:styleId="PlainTable3">
    <w:name w:val="Plain Table 3"/>
    <w:basedOn w:val="TableNormal"/>
    <w:uiPriority w:val="43"/>
    <w:rsid w:val="00DB706C"/>
    <w:tblPr>
      <w:tblStyleRowBandSize w:val="1"/>
      <w:tblStyleColBandSize w:val="1"/>
    </w:tblPr>
    <w:tblStylePr w:type="firstRow">
      <w:rPr>
        <w:b/>
        <w:bCs/>
        <w:caps/>
      </w:rPr>
      <w:tblPr/>
      <w:tcPr>
        <w:tcBorders>
          <w:bottom w:val="single" w:sz="4" w:space="0" w:color="80A7E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A7E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7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aliases w:val="VCGLR TABLE 3"/>
    <w:basedOn w:val="TableNormal"/>
    <w:uiPriority w:val="41"/>
    <w:rsid w:val="008B22C0"/>
    <w:tblPr>
      <w:tblStyleRowBandSize w:val="1"/>
      <w:tblStyleColBandSize w:val="1"/>
      <w:tblBorders>
        <w:top w:val="single" w:sz="4" w:space="0" w:color="3CAE49" w:themeColor="accent1"/>
        <w:left w:val="single" w:sz="4" w:space="0" w:color="3CAE49" w:themeColor="accent1"/>
        <w:bottom w:val="single" w:sz="4" w:space="0" w:color="3CAE49" w:themeColor="accent1"/>
        <w:right w:val="single" w:sz="4" w:space="0" w:color="3CAE49" w:themeColor="accent1"/>
        <w:insideH w:val="single" w:sz="4" w:space="0" w:color="3CAE49" w:themeColor="accent1"/>
        <w:insideV w:val="single" w:sz="4" w:space="0" w:color="3CAE49" w:themeColor="accent1"/>
      </w:tblBorders>
    </w:tblPr>
    <w:tblStylePr w:type="firstRow">
      <w:rPr>
        <w:b/>
        <w:bCs/>
        <w:color w:val="FFFFFF" w:themeColor="background2"/>
      </w:rPr>
      <w:tblPr/>
      <w:tcPr>
        <w:shd w:val="clear" w:color="auto" w:fill="3CAE49" w:themeFill="accent1"/>
      </w:tcPr>
    </w:tblStylePr>
    <w:tblStylePr w:type="lastRow">
      <w:rPr>
        <w:b/>
        <w:bCs/>
      </w:rPr>
    </w:tblStylePr>
    <w:tblStylePr w:type="firstCol">
      <w:rPr>
        <w:b/>
        <w:bCs/>
      </w:rPr>
      <w:tblPr/>
      <w:tcPr>
        <w:shd w:val="clear" w:color="auto" w:fill="83D48C" w:themeFill="accent1" w:themeFillTint="99"/>
      </w:tcPr>
    </w:tblStylePr>
    <w:tblStylePr w:type="lastCol">
      <w:rPr>
        <w:b/>
        <w:bCs/>
      </w:rPr>
    </w:tblStylePr>
    <w:tblStylePr w:type="band1Horz">
      <w:tblPr/>
      <w:tcPr>
        <w:shd w:val="clear" w:color="auto" w:fill="D5F0D8" w:themeFill="accent1" w:themeFillTint="33"/>
      </w:tcPr>
    </w:tblStylePr>
    <w:tblStylePr w:type="band2Horz">
      <w:tblPr/>
      <w:tcPr>
        <w:shd w:val="clear" w:color="auto" w:fill="ACE2B2" w:themeFill="accent1" w:themeFillTint="66"/>
      </w:tcPr>
    </w:tblStylePr>
  </w:style>
  <w:style w:type="table" w:styleId="GridTable2-Accent2">
    <w:name w:val="Grid Table 2 Accent 2"/>
    <w:basedOn w:val="TableNormal"/>
    <w:uiPriority w:val="47"/>
    <w:rsid w:val="00DB706C"/>
    <w:tblPr>
      <w:tblStyleRowBandSize w:val="1"/>
      <w:tblStyleColBandSize w:val="1"/>
      <w:tblBorders>
        <w:top w:val="single" w:sz="2" w:space="0" w:color="4FC3FF" w:themeColor="accent2" w:themeTint="99"/>
        <w:bottom w:val="single" w:sz="2" w:space="0" w:color="4FC3FF" w:themeColor="accent2" w:themeTint="99"/>
        <w:insideH w:val="single" w:sz="2" w:space="0" w:color="4FC3FF" w:themeColor="accent2" w:themeTint="99"/>
        <w:insideV w:val="single" w:sz="2" w:space="0" w:color="4FC3FF" w:themeColor="accent2" w:themeTint="99"/>
      </w:tblBorders>
    </w:tblPr>
    <w:tblStylePr w:type="firstRow">
      <w:rPr>
        <w:b/>
        <w:bCs/>
      </w:rPr>
      <w:tblPr/>
      <w:tcPr>
        <w:tcBorders>
          <w:top w:val="nil"/>
          <w:bottom w:val="single" w:sz="12" w:space="0" w:color="4FC3FF" w:themeColor="accent2" w:themeTint="99"/>
          <w:insideH w:val="nil"/>
          <w:insideV w:val="nil"/>
        </w:tcBorders>
        <w:shd w:val="clear" w:color="auto" w:fill="FFFFFF" w:themeFill="background1"/>
      </w:tcPr>
    </w:tblStylePr>
    <w:tblStylePr w:type="lastRow">
      <w:rPr>
        <w:b/>
        <w:bCs/>
      </w:rPr>
      <w:tblPr/>
      <w:tcPr>
        <w:tcBorders>
          <w:top w:val="double" w:sz="2" w:space="0" w:color="4F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AFF" w:themeFill="accent2" w:themeFillTint="33"/>
      </w:tcPr>
    </w:tblStylePr>
    <w:tblStylePr w:type="band1Horz">
      <w:tblPr/>
      <w:tcPr>
        <w:shd w:val="clear" w:color="auto" w:fill="C4EAFF" w:themeFill="accent2" w:themeFillTint="33"/>
      </w:tcPr>
    </w:tblStylePr>
  </w:style>
  <w:style w:type="table" w:styleId="GridTable2-Accent4">
    <w:name w:val="Grid Table 2 Accent 4"/>
    <w:basedOn w:val="TableNormal"/>
    <w:uiPriority w:val="47"/>
    <w:rsid w:val="00DB706C"/>
    <w:tblPr>
      <w:tblStyleRowBandSize w:val="1"/>
      <w:tblStyleColBandSize w:val="1"/>
      <w:tblBorders>
        <w:top w:val="single" w:sz="2" w:space="0" w:color="A387C3" w:themeColor="accent4" w:themeTint="99"/>
        <w:bottom w:val="single" w:sz="2" w:space="0" w:color="A387C3" w:themeColor="accent4" w:themeTint="99"/>
        <w:insideH w:val="single" w:sz="2" w:space="0" w:color="A387C3" w:themeColor="accent4" w:themeTint="99"/>
        <w:insideV w:val="single" w:sz="2" w:space="0" w:color="A387C3" w:themeColor="accent4" w:themeTint="99"/>
      </w:tblBorders>
    </w:tblPr>
    <w:tblStylePr w:type="firstRow">
      <w:rPr>
        <w:b/>
        <w:bCs/>
      </w:rPr>
      <w:tblPr/>
      <w:tcPr>
        <w:tcBorders>
          <w:top w:val="nil"/>
          <w:bottom w:val="single" w:sz="12" w:space="0" w:color="A387C3" w:themeColor="accent4" w:themeTint="99"/>
          <w:insideH w:val="nil"/>
          <w:insideV w:val="nil"/>
        </w:tcBorders>
        <w:shd w:val="clear" w:color="auto" w:fill="FFFFFF" w:themeFill="background1"/>
      </w:tcPr>
    </w:tblStylePr>
    <w:tblStylePr w:type="lastRow">
      <w:rPr>
        <w:b/>
        <w:bCs/>
      </w:rPr>
      <w:tblPr/>
      <w:tcPr>
        <w:tcBorders>
          <w:top w:val="double" w:sz="2" w:space="0" w:color="A387C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7EB" w:themeFill="accent4" w:themeFillTint="33"/>
      </w:tcPr>
    </w:tblStylePr>
    <w:tblStylePr w:type="band1Horz">
      <w:tblPr/>
      <w:tcPr>
        <w:shd w:val="clear" w:color="auto" w:fill="E0D7EB" w:themeFill="accent4" w:themeFillTint="33"/>
      </w:tcPr>
    </w:tblStylePr>
  </w:style>
  <w:style w:type="table" w:styleId="GridTable5Dark">
    <w:name w:val="Grid Table 5 Dark"/>
    <w:basedOn w:val="TableNormal"/>
    <w:uiPriority w:val="50"/>
    <w:rsid w:val="00DB70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CF4"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59A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59A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59A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59A9" w:themeFill="text1"/>
      </w:tcPr>
    </w:tblStylePr>
    <w:tblStylePr w:type="band1Vert">
      <w:tblPr/>
      <w:tcPr>
        <w:shd w:val="clear" w:color="auto" w:fill="9AB9E9" w:themeFill="text1" w:themeFillTint="66"/>
      </w:tcPr>
    </w:tblStylePr>
    <w:tblStylePr w:type="band1Horz">
      <w:tblPr/>
      <w:tcPr>
        <w:shd w:val="clear" w:color="auto" w:fill="9AB9E9" w:themeFill="text1" w:themeFillTint="66"/>
      </w:tcPr>
    </w:tblStylePr>
  </w:style>
  <w:style w:type="table" w:styleId="GridTable4-Accent6">
    <w:name w:val="Grid Table 4 Accent 6"/>
    <w:basedOn w:val="TableNormal"/>
    <w:uiPriority w:val="49"/>
    <w:rsid w:val="00DB706C"/>
    <w:tblPr>
      <w:tblStyleRowBandSize w:val="1"/>
      <w:tblStyleColBandSize w:val="1"/>
      <w:tblBorders>
        <w:top w:val="single" w:sz="4" w:space="0" w:color="A426EA" w:themeColor="accent6" w:themeTint="99"/>
        <w:left w:val="single" w:sz="4" w:space="0" w:color="A426EA" w:themeColor="accent6" w:themeTint="99"/>
        <w:bottom w:val="single" w:sz="4" w:space="0" w:color="A426EA" w:themeColor="accent6" w:themeTint="99"/>
        <w:right w:val="single" w:sz="4" w:space="0" w:color="A426EA" w:themeColor="accent6" w:themeTint="99"/>
        <w:insideH w:val="single" w:sz="4" w:space="0" w:color="A426EA" w:themeColor="accent6" w:themeTint="99"/>
        <w:insideV w:val="single" w:sz="4" w:space="0" w:color="A426EA" w:themeColor="accent6" w:themeTint="99"/>
      </w:tblBorders>
    </w:tblPr>
    <w:tblStylePr w:type="firstRow">
      <w:rPr>
        <w:b/>
        <w:bCs/>
        <w:color w:val="FFFFFF" w:themeColor="background1"/>
      </w:rPr>
      <w:tblPr/>
      <w:tcPr>
        <w:tcBorders>
          <w:top w:val="single" w:sz="4" w:space="0" w:color="470A68" w:themeColor="accent6"/>
          <w:left w:val="single" w:sz="4" w:space="0" w:color="470A68" w:themeColor="accent6"/>
          <w:bottom w:val="single" w:sz="4" w:space="0" w:color="470A68" w:themeColor="accent6"/>
          <w:right w:val="single" w:sz="4" w:space="0" w:color="470A68" w:themeColor="accent6"/>
          <w:insideH w:val="nil"/>
          <w:insideV w:val="nil"/>
        </w:tcBorders>
        <w:shd w:val="clear" w:color="auto" w:fill="470A68" w:themeFill="accent6"/>
      </w:tcPr>
    </w:tblStylePr>
    <w:tblStylePr w:type="lastRow">
      <w:rPr>
        <w:b/>
        <w:bCs/>
      </w:rPr>
      <w:tblPr/>
      <w:tcPr>
        <w:tcBorders>
          <w:top w:val="double" w:sz="4" w:space="0" w:color="470A68" w:themeColor="accent6"/>
        </w:tcBorders>
      </w:tcPr>
    </w:tblStylePr>
    <w:tblStylePr w:type="firstCol">
      <w:rPr>
        <w:b/>
        <w:bCs/>
      </w:rPr>
    </w:tblStylePr>
    <w:tblStylePr w:type="lastCol">
      <w:rPr>
        <w:b/>
        <w:bCs/>
      </w:rPr>
    </w:tblStylePr>
    <w:tblStylePr w:type="band1Vert">
      <w:tblPr/>
      <w:tcPr>
        <w:shd w:val="clear" w:color="auto" w:fill="E0B6F8" w:themeFill="accent6" w:themeFillTint="33"/>
      </w:tcPr>
    </w:tblStylePr>
    <w:tblStylePr w:type="band1Horz">
      <w:tblPr/>
      <w:tcPr>
        <w:shd w:val="clear" w:color="auto" w:fill="E0B6F8" w:themeFill="accent6" w:themeFillTint="33"/>
      </w:tcPr>
    </w:tblStylePr>
  </w:style>
  <w:style w:type="table" w:styleId="GridTable4-Accent3">
    <w:name w:val="Grid Table 4 Accent 3"/>
    <w:basedOn w:val="TableNormal"/>
    <w:uiPriority w:val="49"/>
    <w:rsid w:val="00DB706C"/>
    <w:tblPr>
      <w:tblStyleRowBandSize w:val="1"/>
      <w:tblStyleColBandSize w:val="1"/>
      <w:tblBorders>
        <w:top w:val="single" w:sz="4" w:space="0" w:color="F09489" w:themeColor="accent3" w:themeTint="99"/>
        <w:left w:val="single" w:sz="4" w:space="0" w:color="F09489" w:themeColor="accent3" w:themeTint="99"/>
        <w:bottom w:val="single" w:sz="4" w:space="0" w:color="F09489" w:themeColor="accent3" w:themeTint="99"/>
        <w:right w:val="single" w:sz="4" w:space="0" w:color="F09489" w:themeColor="accent3" w:themeTint="99"/>
        <w:insideH w:val="single" w:sz="4" w:space="0" w:color="F09489" w:themeColor="accent3" w:themeTint="99"/>
        <w:insideV w:val="single" w:sz="4" w:space="0" w:color="F09489" w:themeColor="accent3" w:themeTint="99"/>
      </w:tblBorders>
    </w:tblPr>
    <w:tblStylePr w:type="firstRow">
      <w:rPr>
        <w:b/>
        <w:bCs/>
        <w:color w:val="FFFFFF" w:themeColor="background1"/>
      </w:rPr>
      <w:tblPr/>
      <w:tcPr>
        <w:tcBorders>
          <w:top w:val="single" w:sz="4" w:space="0" w:color="E74F3C" w:themeColor="accent3"/>
          <w:left w:val="single" w:sz="4" w:space="0" w:color="E74F3C" w:themeColor="accent3"/>
          <w:bottom w:val="single" w:sz="4" w:space="0" w:color="E74F3C" w:themeColor="accent3"/>
          <w:right w:val="single" w:sz="4" w:space="0" w:color="E74F3C" w:themeColor="accent3"/>
          <w:insideH w:val="nil"/>
          <w:insideV w:val="nil"/>
        </w:tcBorders>
        <w:shd w:val="clear" w:color="auto" w:fill="E74F3C" w:themeFill="accent3"/>
      </w:tcPr>
    </w:tblStylePr>
    <w:tblStylePr w:type="lastRow">
      <w:rPr>
        <w:b/>
        <w:bCs/>
      </w:rPr>
      <w:tblPr/>
      <w:tcPr>
        <w:tcBorders>
          <w:top w:val="double" w:sz="4" w:space="0" w:color="E74F3C" w:themeColor="accent3"/>
        </w:tcBorders>
      </w:tcPr>
    </w:tblStylePr>
    <w:tblStylePr w:type="firstCol">
      <w:rPr>
        <w:b/>
        <w:bCs/>
      </w:rPr>
    </w:tblStylePr>
    <w:tblStylePr w:type="lastCol">
      <w:rPr>
        <w:b/>
        <w:bCs/>
      </w:rPr>
    </w:tblStylePr>
    <w:tblStylePr w:type="band1Vert">
      <w:tblPr/>
      <w:tcPr>
        <w:shd w:val="clear" w:color="auto" w:fill="FADBD7" w:themeFill="accent3" w:themeFillTint="33"/>
      </w:tcPr>
    </w:tblStylePr>
    <w:tblStylePr w:type="band1Horz">
      <w:tblPr/>
      <w:tcPr>
        <w:shd w:val="clear" w:color="auto" w:fill="FADBD7" w:themeFill="accent3" w:themeFillTint="33"/>
      </w:tcPr>
    </w:tblStylePr>
  </w:style>
  <w:style w:type="table" w:styleId="GridTable7Colourful">
    <w:name w:val="Grid Table 7 Colorful"/>
    <w:basedOn w:val="TableNormal"/>
    <w:uiPriority w:val="52"/>
    <w:rsid w:val="00DB706C"/>
    <w:rPr>
      <w:color w:val="2459A9" w:themeColor="text1"/>
    </w:rPr>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CF4" w:themeFill="text1" w:themeFillTint="33"/>
      </w:tcPr>
    </w:tblStylePr>
    <w:tblStylePr w:type="band1Horz">
      <w:tblPr/>
      <w:tcPr>
        <w:shd w:val="clear" w:color="auto" w:fill="CCDCF4" w:themeFill="text1" w:themeFillTint="33"/>
      </w:tcPr>
    </w:tblStylePr>
    <w:tblStylePr w:type="neCell">
      <w:tblPr/>
      <w:tcPr>
        <w:tcBorders>
          <w:bottom w:val="single" w:sz="4" w:space="0" w:color="6897DE" w:themeColor="text1" w:themeTint="99"/>
        </w:tcBorders>
      </w:tcPr>
    </w:tblStylePr>
    <w:tblStylePr w:type="nwCell">
      <w:tblPr/>
      <w:tcPr>
        <w:tcBorders>
          <w:bottom w:val="single" w:sz="4" w:space="0" w:color="6897DE" w:themeColor="text1" w:themeTint="99"/>
        </w:tcBorders>
      </w:tcPr>
    </w:tblStylePr>
    <w:tblStylePr w:type="seCell">
      <w:tblPr/>
      <w:tcPr>
        <w:tcBorders>
          <w:top w:val="single" w:sz="4" w:space="0" w:color="6897DE" w:themeColor="text1" w:themeTint="99"/>
        </w:tcBorders>
      </w:tcPr>
    </w:tblStylePr>
    <w:tblStylePr w:type="swCell">
      <w:tblPr/>
      <w:tcPr>
        <w:tcBorders>
          <w:top w:val="single" w:sz="4" w:space="0" w:color="6897DE" w:themeColor="text1" w:themeTint="99"/>
        </w:tcBorders>
      </w:tcPr>
    </w:tblStylePr>
  </w:style>
  <w:style w:type="table" w:styleId="GridTable7ColourfulAccent1">
    <w:name w:val="Grid Table 7 Colorful Accent 1"/>
    <w:basedOn w:val="TableNormal"/>
    <w:uiPriority w:val="52"/>
    <w:rsid w:val="00DB706C"/>
    <w:rPr>
      <w:color w:val="2D8236" w:themeColor="accent1" w:themeShade="BF"/>
    </w:rPr>
    <w:tblPr>
      <w:tblStyleRowBandSize w:val="1"/>
      <w:tblStyleColBandSize w:val="1"/>
      <w:tblBorders>
        <w:top w:val="single" w:sz="4" w:space="0" w:color="83D48C" w:themeColor="accent1" w:themeTint="99"/>
        <w:left w:val="single" w:sz="4" w:space="0" w:color="83D48C" w:themeColor="accent1" w:themeTint="99"/>
        <w:bottom w:val="single" w:sz="4" w:space="0" w:color="83D48C" w:themeColor="accent1" w:themeTint="99"/>
        <w:right w:val="single" w:sz="4" w:space="0" w:color="83D48C" w:themeColor="accent1" w:themeTint="99"/>
        <w:insideH w:val="single" w:sz="4" w:space="0" w:color="83D48C" w:themeColor="accent1" w:themeTint="99"/>
        <w:insideV w:val="single" w:sz="4" w:space="0" w:color="83D4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0D8" w:themeFill="accent1" w:themeFillTint="33"/>
      </w:tcPr>
    </w:tblStylePr>
    <w:tblStylePr w:type="band1Horz">
      <w:tblPr/>
      <w:tcPr>
        <w:shd w:val="clear" w:color="auto" w:fill="D5F0D8" w:themeFill="accent1" w:themeFillTint="33"/>
      </w:tcPr>
    </w:tblStylePr>
    <w:tblStylePr w:type="neCell">
      <w:tblPr/>
      <w:tcPr>
        <w:tcBorders>
          <w:bottom w:val="single" w:sz="4" w:space="0" w:color="83D48C" w:themeColor="accent1" w:themeTint="99"/>
        </w:tcBorders>
      </w:tcPr>
    </w:tblStylePr>
    <w:tblStylePr w:type="nwCell">
      <w:tblPr/>
      <w:tcPr>
        <w:tcBorders>
          <w:bottom w:val="single" w:sz="4" w:space="0" w:color="83D48C" w:themeColor="accent1" w:themeTint="99"/>
        </w:tcBorders>
      </w:tcPr>
    </w:tblStylePr>
    <w:tblStylePr w:type="seCell">
      <w:tblPr/>
      <w:tcPr>
        <w:tcBorders>
          <w:top w:val="single" w:sz="4" w:space="0" w:color="83D48C" w:themeColor="accent1" w:themeTint="99"/>
        </w:tcBorders>
      </w:tcPr>
    </w:tblStylePr>
    <w:tblStylePr w:type="swCell">
      <w:tblPr/>
      <w:tcPr>
        <w:tcBorders>
          <w:top w:val="single" w:sz="4" w:space="0" w:color="83D48C" w:themeColor="accent1" w:themeTint="99"/>
        </w:tcBorders>
      </w:tcPr>
    </w:tblStylePr>
  </w:style>
  <w:style w:type="table" w:styleId="GridTable6ColourfulAccent4">
    <w:name w:val="Grid Table 6 Colorful Accent 4"/>
    <w:basedOn w:val="TableNormal"/>
    <w:uiPriority w:val="51"/>
    <w:rsid w:val="00DB706C"/>
    <w:rPr>
      <w:color w:val="4D3569" w:themeColor="accent4" w:themeShade="BF"/>
    </w:rPr>
    <w:tblPr>
      <w:tblStyleRowBandSize w:val="1"/>
      <w:tblStyleColBandSize w:val="1"/>
      <w:tblBorders>
        <w:top w:val="single" w:sz="4" w:space="0" w:color="A387C3" w:themeColor="accent4" w:themeTint="99"/>
        <w:left w:val="single" w:sz="4" w:space="0" w:color="A387C3" w:themeColor="accent4" w:themeTint="99"/>
        <w:bottom w:val="single" w:sz="4" w:space="0" w:color="A387C3" w:themeColor="accent4" w:themeTint="99"/>
        <w:right w:val="single" w:sz="4" w:space="0" w:color="A387C3" w:themeColor="accent4" w:themeTint="99"/>
        <w:insideH w:val="single" w:sz="4" w:space="0" w:color="A387C3" w:themeColor="accent4" w:themeTint="99"/>
        <w:insideV w:val="single" w:sz="4" w:space="0" w:color="A387C3" w:themeColor="accent4" w:themeTint="99"/>
      </w:tblBorders>
    </w:tblPr>
    <w:tblStylePr w:type="firstRow">
      <w:rPr>
        <w:b/>
        <w:bCs/>
      </w:rPr>
      <w:tblPr/>
      <w:tcPr>
        <w:tcBorders>
          <w:bottom w:val="single" w:sz="12" w:space="0" w:color="A387C3" w:themeColor="accent4" w:themeTint="99"/>
        </w:tcBorders>
      </w:tcPr>
    </w:tblStylePr>
    <w:tblStylePr w:type="lastRow">
      <w:rPr>
        <w:b/>
        <w:bCs/>
      </w:rPr>
      <w:tblPr/>
      <w:tcPr>
        <w:tcBorders>
          <w:top w:val="double" w:sz="4" w:space="0" w:color="A387C3" w:themeColor="accent4" w:themeTint="99"/>
        </w:tcBorders>
      </w:tcPr>
    </w:tblStylePr>
    <w:tblStylePr w:type="firstCol">
      <w:rPr>
        <w:b/>
        <w:bCs/>
      </w:rPr>
    </w:tblStylePr>
    <w:tblStylePr w:type="lastCol">
      <w:rPr>
        <w:b/>
        <w:bCs/>
      </w:rPr>
    </w:tblStylePr>
    <w:tblStylePr w:type="band1Vert">
      <w:tblPr/>
      <w:tcPr>
        <w:shd w:val="clear" w:color="auto" w:fill="E0D7EB" w:themeFill="accent4" w:themeFillTint="33"/>
      </w:tcPr>
    </w:tblStylePr>
    <w:tblStylePr w:type="band1Horz">
      <w:tblPr/>
      <w:tcPr>
        <w:shd w:val="clear" w:color="auto" w:fill="E0D7EB" w:themeFill="accent4" w:themeFillTint="33"/>
      </w:tcPr>
    </w:tblStylePr>
  </w:style>
  <w:style w:type="table" w:styleId="GridTable6ColourfulAccent3">
    <w:name w:val="Grid Table 6 Colorful Accent 3"/>
    <w:basedOn w:val="TableNormal"/>
    <w:uiPriority w:val="51"/>
    <w:rsid w:val="00DB706C"/>
    <w:rPr>
      <w:color w:val="C12A18" w:themeColor="accent3" w:themeShade="BF"/>
    </w:rPr>
    <w:tblPr>
      <w:tblStyleRowBandSize w:val="1"/>
      <w:tblStyleColBandSize w:val="1"/>
      <w:tblBorders>
        <w:top w:val="single" w:sz="4" w:space="0" w:color="F09489" w:themeColor="accent3" w:themeTint="99"/>
        <w:left w:val="single" w:sz="4" w:space="0" w:color="F09489" w:themeColor="accent3" w:themeTint="99"/>
        <w:bottom w:val="single" w:sz="4" w:space="0" w:color="F09489" w:themeColor="accent3" w:themeTint="99"/>
        <w:right w:val="single" w:sz="4" w:space="0" w:color="F09489" w:themeColor="accent3" w:themeTint="99"/>
        <w:insideH w:val="single" w:sz="4" w:space="0" w:color="F09489" w:themeColor="accent3" w:themeTint="99"/>
        <w:insideV w:val="single" w:sz="4" w:space="0" w:color="F09489" w:themeColor="accent3" w:themeTint="99"/>
      </w:tblBorders>
    </w:tblPr>
    <w:tblStylePr w:type="firstRow">
      <w:rPr>
        <w:b/>
        <w:bCs/>
      </w:rPr>
      <w:tblPr/>
      <w:tcPr>
        <w:tcBorders>
          <w:bottom w:val="single" w:sz="12" w:space="0" w:color="F09489" w:themeColor="accent3" w:themeTint="99"/>
        </w:tcBorders>
      </w:tcPr>
    </w:tblStylePr>
    <w:tblStylePr w:type="lastRow">
      <w:rPr>
        <w:b/>
        <w:bCs/>
      </w:rPr>
      <w:tblPr/>
      <w:tcPr>
        <w:tcBorders>
          <w:top w:val="double" w:sz="4" w:space="0" w:color="F09489" w:themeColor="accent3" w:themeTint="99"/>
        </w:tcBorders>
      </w:tcPr>
    </w:tblStylePr>
    <w:tblStylePr w:type="firstCol">
      <w:rPr>
        <w:b/>
        <w:bCs/>
      </w:rPr>
    </w:tblStylePr>
    <w:tblStylePr w:type="lastCol">
      <w:rPr>
        <w:b/>
        <w:bCs/>
      </w:rPr>
    </w:tblStylePr>
    <w:tblStylePr w:type="band1Vert">
      <w:tblPr/>
      <w:tcPr>
        <w:shd w:val="clear" w:color="auto" w:fill="FADBD7" w:themeFill="accent3" w:themeFillTint="33"/>
      </w:tcPr>
    </w:tblStylePr>
    <w:tblStylePr w:type="band1Horz">
      <w:tblPr/>
      <w:tcPr>
        <w:shd w:val="clear" w:color="auto" w:fill="FADBD7" w:themeFill="accent3" w:themeFillTint="33"/>
      </w:tcPr>
    </w:tblStylePr>
  </w:style>
  <w:style w:type="table" w:styleId="GridTable6ColourfulAccent2">
    <w:name w:val="Grid Table 6 Colorful Accent 2"/>
    <w:basedOn w:val="TableNormal"/>
    <w:uiPriority w:val="51"/>
    <w:rsid w:val="00DB706C"/>
    <w:rPr>
      <w:color w:val="006BA3" w:themeColor="accent2" w:themeShade="BF"/>
    </w:rPr>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rPr>
      <w:tblPr/>
      <w:tcPr>
        <w:tcBorders>
          <w:bottom w:val="single" w:sz="12" w:space="0" w:color="4FC3FF" w:themeColor="accent2" w:themeTint="99"/>
        </w:tcBorders>
      </w:tcPr>
    </w:tblStylePr>
    <w:tblStylePr w:type="lastRow">
      <w:rPr>
        <w:b/>
        <w:bCs/>
      </w:rPr>
      <w:tblPr/>
      <w:tcPr>
        <w:tcBorders>
          <w:top w:val="double" w:sz="4" w:space="0" w:color="4FC3FF" w:themeColor="accent2" w:themeTint="99"/>
        </w:tcBorders>
      </w:tcPr>
    </w:tblStylePr>
    <w:tblStylePr w:type="firstCol">
      <w:rPr>
        <w:b/>
        <w:bCs/>
      </w:rPr>
    </w:tblStylePr>
    <w:tblStylePr w:type="lastCol">
      <w:rPr>
        <w:b/>
        <w:bCs/>
      </w:rPr>
    </w:tblStylePr>
    <w:tblStylePr w:type="band1Vert">
      <w:tblPr/>
      <w:tcPr>
        <w:shd w:val="clear" w:color="auto" w:fill="C4EAFF" w:themeFill="accent2" w:themeFillTint="33"/>
      </w:tcPr>
    </w:tblStylePr>
    <w:tblStylePr w:type="band1Horz">
      <w:tblPr/>
      <w:tcPr>
        <w:shd w:val="clear" w:color="auto" w:fill="C4EAFF" w:themeFill="accent2" w:themeFillTint="33"/>
      </w:tcPr>
    </w:tblStylePr>
  </w:style>
  <w:style w:type="table" w:styleId="GridTable6ColourfulAccent1">
    <w:name w:val="Grid Table 6 Colorful Accent 1"/>
    <w:basedOn w:val="TableNormal"/>
    <w:uiPriority w:val="51"/>
    <w:rsid w:val="00DB706C"/>
    <w:rPr>
      <w:color w:val="2D8236" w:themeColor="accent1" w:themeShade="BF"/>
    </w:rPr>
    <w:tblPr>
      <w:tblStyleRowBandSize w:val="1"/>
      <w:tblStyleColBandSize w:val="1"/>
      <w:tblBorders>
        <w:top w:val="single" w:sz="4" w:space="0" w:color="83D48C" w:themeColor="accent1" w:themeTint="99"/>
        <w:left w:val="single" w:sz="4" w:space="0" w:color="83D48C" w:themeColor="accent1" w:themeTint="99"/>
        <w:bottom w:val="single" w:sz="4" w:space="0" w:color="83D48C" w:themeColor="accent1" w:themeTint="99"/>
        <w:right w:val="single" w:sz="4" w:space="0" w:color="83D48C" w:themeColor="accent1" w:themeTint="99"/>
        <w:insideH w:val="single" w:sz="4" w:space="0" w:color="83D48C" w:themeColor="accent1" w:themeTint="99"/>
        <w:insideV w:val="single" w:sz="4" w:space="0" w:color="83D48C" w:themeColor="accent1" w:themeTint="99"/>
      </w:tblBorders>
    </w:tblPr>
    <w:tblStylePr w:type="firstRow">
      <w:rPr>
        <w:b/>
        <w:bCs/>
      </w:rPr>
      <w:tblPr/>
      <w:tcPr>
        <w:tcBorders>
          <w:bottom w:val="single" w:sz="12" w:space="0" w:color="83D48C" w:themeColor="accent1" w:themeTint="99"/>
        </w:tcBorders>
      </w:tcPr>
    </w:tblStylePr>
    <w:tblStylePr w:type="lastRow">
      <w:rPr>
        <w:b/>
        <w:bCs/>
      </w:rPr>
      <w:tblPr/>
      <w:tcPr>
        <w:tcBorders>
          <w:top w:val="double" w:sz="4" w:space="0" w:color="83D48C" w:themeColor="accent1" w:themeTint="99"/>
        </w:tcBorders>
      </w:tcPr>
    </w:tblStylePr>
    <w:tblStylePr w:type="firstCol">
      <w:rPr>
        <w:b/>
        <w:bCs/>
      </w:rPr>
    </w:tblStylePr>
    <w:tblStylePr w:type="lastCol">
      <w:rPr>
        <w:b/>
        <w:bCs/>
      </w:rPr>
    </w:tblStylePr>
    <w:tblStylePr w:type="band1Vert">
      <w:tblPr/>
      <w:tcPr>
        <w:shd w:val="clear" w:color="auto" w:fill="D5F0D8" w:themeFill="accent1" w:themeFillTint="33"/>
      </w:tcPr>
    </w:tblStylePr>
    <w:tblStylePr w:type="band1Horz">
      <w:tblPr/>
      <w:tcPr>
        <w:shd w:val="clear" w:color="auto" w:fill="D5F0D8" w:themeFill="accent1" w:themeFillTint="33"/>
      </w:tcPr>
    </w:tblStylePr>
  </w:style>
  <w:style w:type="table" w:styleId="GridTable7ColourfulAccent2">
    <w:name w:val="Grid Table 7 Colorful Accent 2"/>
    <w:basedOn w:val="TableNormal"/>
    <w:uiPriority w:val="52"/>
    <w:rsid w:val="00DB706C"/>
    <w:rPr>
      <w:color w:val="006BA3" w:themeColor="accent2" w:themeShade="BF"/>
    </w:rPr>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2" w:themeFillTint="33"/>
      </w:tcPr>
    </w:tblStylePr>
    <w:tblStylePr w:type="band1Horz">
      <w:tblPr/>
      <w:tcPr>
        <w:shd w:val="clear" w:color="auto" w:fill="C4EAFF" w:themeFill="accent2" w:themeFillTint="33"/>
      </w:tcPr>
    </w:tblStylePr>
    <w:tblStylePr w:type="neCell">
      <w:tblPr/>
      <w:tcPr>
        <w:tcBorders>
          <w:bottom w:val="single" w:sz="4" w:space="0" w:color="4FC3FF" w:themeColor="accent2" w:themeTint="99"/>
        </w:tcBorders>
      </w:tcPr>
    </w:tblStylePr>
    <w:tblStylePr w:type="nwCell">
      <w:tblPr/>
      <w:tcPr>
        <w:tcBorders>
          <w:bottom w:val="single" w:sz="4" w:space="0" w:color="4FC3FF" w:themeColor="accent2" w:themeTint="99"/>
        </w:tcBorders>
      </w:tcPr>
    </w:tblStylePr>
    <w:tblStylePr w:type="seCell">
      <w:tblPr/>
      <w:tcPr>
        <w:tcBorders>
          <w:top w:val="single" w:sz="4" w:space="0" w:color="4FC3FF" w:themeColor="accent2" w:themeTint="99"/>
        </w:tcBorders>
      </w:tcPr>
    </w:tblStylePr>
    <w:tblStylePr w:type="swCell">
      <w:tblPr/>
      <w:tcPr>
        <w:tcBorders>
          <w:top w:val="single" w:sz="4" w:space="0" w:color="4FC3FF" w:themeColor="accent2" w:themeTint="99"/>
        </w:tcBorders>
      </w:tcPr>
    </w:tblStylePr>
  </w:style>
  <w:style w:type="table" w:styleId="GridTable7ColourfulAccent3">
    <w:name w:val="Grid Table 7 Colorful Accent 3"/>
    <w:basedOn w:val="TableNormal"/>
    <w:uiPriority w:val="52"/>
    <w:rsid w:val="00DB706C"/>
    <w:rPr>
      <w:color w:val="C12A18" w:themeColor="accent3" w:themeShade="BF"/>
    </w:rPr>
    <w:tblPr>
      <w:tblStyleRowBandSize w:val="1"/>
      <w:tblStyleColBandSize w:val="1"/>
      <w:tblBorders>
        <w:top w:val="single" w:sz="4" w:space="0" w:color="F09489" w:themeColor="accent3" w:themeTint="99"/>
        <w:left w:val="single" w:sz="4" w:space="0" w:color="F09489" w:themeColor="accent3" w:themeTint="99"/>
        <w:bottom w:val="single" w:sz="4" w:space="0" w:color="F09489" w:themeColor="accent3" w:themeTint="99"/>
        <w:right w:val="single" w:sz="4" w:space="0" w:color="F09489" w:themeColor="accent3" w:themeTint="99"/>
        <w:insideH w:val="single" w:sz="4" w:space="0" w:color="F09489" w:themeColor="accent3" w:themeTint="99"/>
        <w:insideV w:val="single" w:sz="4" w:space="0" w:color="F094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7" w:themeFill="accent3" w:themeFillTint="33"/>
      </w:tcPr>
    </w:tblStylePr>
    <w:tblStylePr w:type="band1Horz">
      <w:tblPr/>
      <w:tcPr>
        <w:shd w:val="clear" w:color="auto" w:fill="FADBD7" w:themeFill="accent3" w:themeFillTint="33"/>
      </w:tcPr>
    </w:tblStylePr>
    <w:tblStylePr w:type="neCell">
      <w:tblPr/>
      <w:tcPr>
        <w:tcBorders>
          <w:bottom w:val="single" w:sz="4" w:space="0" w:color="F09489" w:themeColor="accent3" w:themeTint="99"/>
        </w:tcBorders>
      </w:tcPr>
    </w:tblStylePr>
    <w:tblStylePr w:type="nwCell">
      <w:tblPr/>
      <w:tcPr>
        <w:tcBorders>
          <w:bottom w:val="single" w:sz="4" w:space="0" w:color="F09489" w:themeColor="accent3" w:themeTint="99"/>
        </w:tcBorders>
      </w:tcPr>
    </w:tblStylePr>
    <w:tblStylePr w:type="seCell">
      <w:tblPr/>
      <w:tcPr>
        <w:tcBorders>
          <w:top w:val="single" w:sz="4" w:space="0" w:color="F09489" w:themeColor="accent3" w:themeTint="99"/>
        </w:tcBorders>
      </w:tcPr>
    </w:tblStylePr>
    <w:tblStylePr w:type="swCell">
      <w:tblPr/>
      <w:tcPr>
        <w:tcBorders>
          <w:top w:val="single" w:sz="4" w:space="0" w:color="F09489" w:themeColor="accent3" w:themeTint="99"/>
        </w:tcBorders>
      </w:tcPr>
    </w:tblStylePr>
  </w:style>
  <w:style w:type="table" w:styleId="GridTable7ColourfulAccent4">
    <w:name w:val="Grid Table 7 Colorful Accent 4"/>
    <w:basedOn w:val="TableNormal"/>
    <w:uiPriority w:val="52"/>
    <w:rsid w:val="00DB706C"/>
    <w:rPr>
      <w:color w:val="4D3569" w:themeColor="accent4" w:themeShade="BF"/>
    </w:rPr>
    <w:tblPr>
      <w:tblStyleRowBandSize w:val="1"/>
      <w:tblStyleColBandSize w:val="1"/>
      <w:tblBorders>
        <w:top w:val="single" w:sz="4" w:space="0" w:color="A387C3" w:themeColor="accent4" w:themeTint="99"/>
        <w:left w:val="single" w:sz="4" w:space="0" w:color="A387C3" w:themeColor="accent4" w:themeTint="99"/>
        <w:bottom w:val="single" w:sz="4" w:space="0" w:color="A387C3" w:themeColor="accent4" w:themeTint="99"/>
        <w:right w:val="single" w:sz="4" w:space="0" w:color="A387C3" w:themeColor="accent4" w:themeTint="99"/>
        <w:insideH w:val="single" w:sz="4" w:space="0" w:color="A387C3" w:themeColor="accent4" w:themeTint="99"/>
        <w:insideV w:val="single" w:sz="4" w:space="0" w:color="A387C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7EB" w:themeFill="accent4" w:themeFillTint="33"/>
      </w:tcPr>
    </w:tblStylePr>
    <w:tblStylePr w:type="band1Horz">
      <w:tblPr/>
      <w:tcPr>
        <w:shd w:val="clear" w:color="auto" w:fill="E0D7EB" w:themeFill="accent4" w:themeFillTint="33"/>
      </w:tcPr>
    </w:tblStylePr>
    <w:tblStylePr w:type="neCell">
      <w:tblPr/>
      <w:tcPr>
        <w:tcBorders>
          <w:bottom w:val="single" w:sz="4" w:space="0" w:color="A387C3" w:themeColor="accent4" w:themeTint="99"/>
        </w:tcBorders>
      </w:tcPr>
    </w:tblStylePr>
    <w:tblStylePr w:type="nwCell">
      <w:tblPr/>
      <w:tcPr>
        <w:tcBorders>
          <w:bottom w:val="single" w:sz="4" w:space="0" w:color="A387C3" w:themeColor="accent4" w:themeTint="99"/>
        </w:tcBorders>
      </w:tcPr>
    </w:tblStylePr>
    <w:tblStylePr w:type="seCell">
      <w:tblPr/>
      <w:tcPr>
        <w:tcBorders>
          <w:top w:val="single" w:sz="4" w:space="0" w:color="A387C3" w:themeColor="accent4" w:themeTint="99"/>
        </w:tcBorders>
      </w:tcPr>
    </w:tblStylePr>
    <w:tblStylePr w:type="swCell">
      <w:tblPr/>
      <w:tcPr>
        <w:tcBorders>
          <w:top w:val="single" w:sz="4" w:space="0" w:color="A387C3" w:themeColor="accent4" w:themeTint="99"/>
        </w:tcBorders>
      </w:tcPr>
    </w:tblStylePr>
  </w:style>
  <w:style w:type="table" w:styleId="GridTable7ColourfulAccent5">
    <w:name w:val="Grid Table 7 Colorful Accent 5"/>
    <w:basedOn w:val="TableNormal"/>
    <w:uiPriority w:val="52"/>
    <w:rsid w:val="00DB706C"/>
    <w:rPr>
      <w:color w:val="005660" w:themeColor="accent5" w:themeShade="BF"/>
    </w:rPr>
    <w:tblPr>
      <w:tblStyleRowBandSize w:val="1"/>
      <w:tblStyleColBandSize w:val="1"/>
      <w:tblBorders>
        <w:top w:val="single" w:sz="4" w:space="0" w:color="1AE7FF" w:themeColor="accent5" w:themeTint="99"/>
        <w:left w:val="single" w:sz="4" w:space="0" w:color="1AE7FF" w:themeColor="accent5" w:themeTint="99"/>
        <w:bottom w:val="single" w:sz="4" w:space="0" w:color="1AE7FF" w:themeColor="accent5" w:themeTint="99"/>
        <w:right w:val="single" w:sz="4" w:space="0" w:color="1AE7FF" w:themeColor="accent5" w:themeTint="99"/>
        <w:insideH w:val="single" w:sz="4" w:space="0" w:color="1AE7FF" w:themeColor="accent5" w:themeTint="99"/>
        <w:insideV w:val="single" w:sz="4" w:space="0" w:color="1AE7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7FF" w:themeFill="accent5" w:themeFillTint="33"/>
      </w:tcPr>
    </w:tblStylePr>
    <w:tblStylePr w:type="band1Horz">
      <w:tblPr/>
      <w:tcPr>
        <w:shd w:val="clear" w:color="auto" w:fill="B2F7FF" w:themeFill="accent5" w:themeFillTint="33"/>
      </w:tcPr>
    </w:tblStylePr>
    <w:tblStylePr w:type="neCell">
      <w:tblPr/>
      <w:tcPr>
        <w:tcBorders>
          <w:bottom w:val="single" w:sz="4" w:space="0" w:color="1AE7FF" w:themeColor="accent5" w:themeTint="99"/>
        </w:tcBorders>
      </w:tcPr>
    </w:tblStylePr>
    <w:tblStylePr w:type="nwCell">
      <w:tblPr/>
      <w:tcPr>
        <w:tcBorders>
          <w:bottom w:val="single" w:sz="4" w:space="0" w:color="1AE7FF" w:themeColor="accent5" w:themeTint="99"/>
        </w:tcBorders>
      </w:tcPr>
    </w:tblStylePr>
    <w:tblStylePr w:type="seCell">
      <w:tblPr/>
      <w:tcPr>
        <w:tcBorders>
          <w:top w:val="single" w:sz="4" w:space="0" w:color="1AE7FF" w:themeColor="accent5" w:themeTint="99"/>
        </w:tcBorders>
      </w:tcPr>
    </w:tblStylePr>
    <w:tblStylePr w:type="swCell">
      <w:tblPr/>
      <w:tcPr>
        <w:tcBorders>
          <w:top w:val="single" w:sz="4" w:space="0" w:color="1AE7FF" w:themeColor="accent5" w:themeTint="99"/>
        </w:tcBorders>
      </w:tcPr>
    </w:tblStylePr>
  </w:style>
  <w:style w:type="table" w:styleId="GridTable7ColourfulAccent6">
    <w:name w:val="Grid Table 7 Colorful Accent 6"/>
    <w:basedOn w:val="TableNormal"/>
    <w:uiPriority w:val="52"/>
    <w:rsid w:val="00DB706C"/>
    <w:rPr>
      <w:color w:val="34074D" w:themeColor="accent6" w:themeShade="BF"/>
    </w:rPr>
    <w:tblPr>
      <w:tblStyleRowBandSize w:val="1"/>
      <w:tblStyleColBandSize w:val="1"/>
      <w:tblBorders>
        <w:top w:val="single" w:sz="4" w:space="0" w:color="A426EA" w:themeColor="accent6" w:themeTint="99"/>
        <w:left w:val="single" w:sz="4" w:space="0" w:color="A426EA" w:themeColor="accent6" w:themeTint="99"/>
        <w:bottom w:val="single" w:sz="4" w:space="0" w:color="A426EA" w:themeColor="accent6" w:themeTint="99"/>
        <w:right w:val="single" w:sz="4" w:space="0" w:color="A426EA" w:themeColor="accent6" w:themeTint="99"/>
        <w:insideH w:val="single" w:sz="4" w:space="0" w:color="A426EA" w:themeColor="accent6" w:themeTint="99"/>
        <w:insideV w:val="single" w:sz="4" w:space="0" w:color="A426E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B6F8" w:themeFill="accent6" w:themeFillTint="33"/>
      </w:tcPr>
    </w:tblStylePr>
    <w:tblStylePr w:type="band1Horz">
      <w:tblPr/>
      <w:tcPr>
        <w:shd w:val="clear" w:color="auto" w:fill="E0B6F8" w:themeFill="accent6" w:themeFillTint="33"/>
      </w:tcPr>
    </w:tblStylePr>
    <w:tblStylePr w:type="neCell">
      <w:tblPr/>
      <w:tcPr>
        <w:tcBorders>
          <w:bottom w:val="single" w:sz="4" w:space="0" w:color="A426EA" w:themeColor="accent6" w:themeTint="99"/>
        </w:tcBorders>
      </w:tcPr>
    </w:tblStylePr>
    <w:tblStylePr w:type="nwCell">
      <w:tblPr/>
      <w:tcPr>
        <w:tcBorders>
          <w:bottom w:val="single" w:sz="4" w:space="0" w:color="A426EA" w:themeColor="accent6" w:themeTint="99"/>
        </w:tcBorders>
      </w:tcPr>
    </w:tblStylePr>
    <w:tblStylePr w:type="seCell">
      <w:tblPr/>
      <w:tcPr>
        <w:tcBorders>
          <w:top w:val="single" w:sz="4" w:space="0" w:color="A426EA" w:themeColor="accent6" w:themeTint="99"/>
        </w:tcBorders>
      </w:tcPr>
    </w:tblStylePr>
    <w:tblStylePr w:type="swCell">
      <w:tblPr/>
      <w:tcPr>
        <w:tcBorders>
          <w:top w:val="single" w:sz="4" w:space="0" w:color="A426EA" w:themeColor="accent6" w:themeTint="99"/>
        </w:tcBorders>
      </w:tcPr>
    </w:tblStylePr>
  </w:style>
  <w:style w:type="table" w:styleId="ListTable2-Accent2">
    <w:name w:val="List Table 2 Accent 2"/>
    <w:basedOn w:val="TableNormal"/>
    <w:uiPriority w:val="47"/>
    <w:rsid w:val="00DB706C"/>
    <w:tblPr>
      <w:tblStyleRowBandSize w:val="1"/>
      <w:tblStyleColBandSize w:val="1"/>
      <w:tblBorders>
        <w:top w:val="single" w:sz="4" w:space="0" w:color="4FC3FF" w:themeColor="accent2" w:themeTint="99"/>
        <w:bottom w:val="single" w:sz="4" w:space="0" w:color="4FC3FF" w:themeColor="accent2" w:themeTint="99"/>
        <w:insideH w:val="single" w:sz="4" w:space="0" w:color="4FC3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2" w:themeFillTint="33"/>
      </w:tcPr>
    </w:tblStylePr>
    <w:tblStylePr w:type="band1Horz">
      <w:tblPr/>
      <w:tcPr>
        <w:shd w:val="clear" w:color="auto" w:fill="C4EAFF" w:themeFill="accent2" w:themeFillTint="33"/>
      </w:tcPr>
    </w:tblStylePr>
  </w:style>
  <w:style w:type="table" w:styleId="ListTable1Light">
    <w:name w:val="List Table 1 Light"/>
    <w:basedOn w:val="TableNormal"/>
    <w:uiPriority w:val="46"/>
    <w:rsid w:val="00DB706C"/>
    <w:tblPr>
      <w:tblStyleRowBandSize w:val="1"/>
      <w:tblStyleColBandSize w:val="1"/>
    </w:tblPr>
    <w:tblStylePr w:type="firstRow">
      <w:rPr>
        <w:b/>
        <w:bCs/>
      </w:rPr>
      <w:tblPr/>
      <w:tcPr>
        <w:tcBorders>
          <w:bottom w:val="single" w:sz="4" w:space="0" w:color="6897DE" w:themeColor="text1" w:themeTint="99"/>
        </w:tcBorders>
      </w:tcPr>
    </w:tblStylePr>
    <w:tblStylePr w:type="lastRow">
      <w:rPr>
        <w:b/>
        <w:bCs/>
      </w:rPr>
      <w:tblPr/>
      <w:tcPr>
        <w:tcBorders>
          <w:top w:val="single" w:sz="4" w:space="0" w:color="6897DE" w:themeColor="text1" w:themeTint="99"/>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ListTable1Light-Accent2">
    <w:name w:val="List Table 1 Light Accent 2"/>
    <w:basedOn w:val="TableNormal"/>
    <w:uiPriority w:val="46"/>
    <w:rsid w:val="00DB706C"/>
    <w:tblPr>
      <w:tblStyleRowBandSize w:val="1"/>
      <w:tblStyleColBandSize w:val="1"/>
    </w:tblPr>
    <w:tblStylePr w:type="firstRow">
      <w:rPr>
        <w:b/>
        <w:bCs/>
      </w:rPr>
      <w:tblPr/>
      <w:tcPr>
        <w:tcBorders>
          <w:bottom w:val="single" w:sz="4" w:space="0" w:color="4FC3FF" w:themeColor="accent2" w:themeTint="99"/>
        </w:tcBorders>
      </w:tcPr>
    </w:tblStylePr>
    <w:tblStylePr w:type="lastRow">
      <w:rPr>
        <w:b/>
        <w:bCs/>
      </w:rPr>
      <w:tblPr/>
      <w:tcPr>
        <w:tcBorders>
          <w:top w:val="single" w:sz="4" w:space="0" w:color="4FC3FF" w:themeColor="accent2" w:themeTint="99"/>
        </w:tcBorders>
      </w:tcPr>
    </w:tblStylePr>
    <w:tblStylePr w:type="firstCol">
      <w:rPr>
        <w:b/>
        <w:bCs/>
      </w:rPr>
    </w:tblStylePr>
    <w:tblStylePr w:type="lastCol">
      <w:rPr>
        <w:b/>
        <w:bCs/>
      </w:rPr>
    </w:tblStylePr>
    <w:tblStylePr w:type="band1Vert">
      <w:tblPr/>
      <w:tcPr>
        <w:shd w:val="clear" w:color="auto" w:fill="C4EAFF" w:themeFill="accent2" w:themeFillTint="33"/>
      </w:tcPr>
    </w:tblStylePr>
    <w:tblStylePr w:type="band1Horz">
      <w:tblPr/>
      <w:tcPr>
        <w:shd w:val="clear" w:color="auto" w:fill="C4EAFF" w:themeFill="accent2" w:themeFillTint="33"/>
      </w:tcPr>
    </w:tblStylePr>
  </w:style>
  <w:style w:type="table" w:styleId="ListTable4">
    <w:name w:val="List Table 4"/>
    <w:basedOn w:val="TableNormal"/>
    <w:uiPriority w:val="49"/>
    <w:rsid w:val="00DB706C"/>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tcBorders>
        <w:shd w:val="clear" w:color="auto" w:fill="2459A9" w:themeFill="text1"/>
      </w:tcPr>
    </w:tblStylePr>
    <w:tblStylePr w:type="lastRow">
      <w:rPr>
        <w:b/>
        <w:bCs/>
      </w:rPr>
      <w:tblPr/>
      <w:tcPr>
        <w:tcBorders>
          <w:top w:val="double" w:sz="4" w:space="0" w:color="6897DE" w:themeColor="text1" w:themeTint="99"/>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ListTable3-Accent6">
    <w:name w:val="List Table 3 Accent 6"/>
    <w:basedOn w:val="TableNormal"/>
    <w:uiPriority w:val="48"/>
    <w:rsid w:val="00DB706C"/>
    <w:tblPr>
      <w:tblStyleRowBandSize w:val="1"/>
      <w:tblStyleColBandSize w:val="1"/>
      <w:tblBorders>
        <w:top w:val="single" w:sz="4" w:space="0" w:color="470A68" w:themeColor="accent6"/>
        <w:left w:val="single" w:sz="4" w:space="0" w:color="470A68" w:themeColor="accent6"/>
        <w:bottom w:val="single" w:sz="4" w:space="0" w:color="470A68" w:themeColor="accent6"/>
        <w:right w:val="single" w:sz="4" w:space="0" w:color="470A68" w:themeColor="accent6"/>
      </w:tblBorders>
    </w:tblPr>
    <w:tblStylePr w:type="firstRow">
      <w:rPr>
        <w:b/>
        <w:bCs/>
        <w:color w:val="FFFFFF" w:themeColor="background1"/>
      </w:rPr>
      <w:tblPr/>
      <w:tcPr>
        <w:shd w:val="clear" w:color="auto" w:fill="470A68" w:themeFill="accent6"/>
      </w:tcPr>
    </w:tblStylePr>
    <w:tblStylePr w:type="lastRow">
      <w:rPr>
        <w:b/>
        <w:bCs/>
      </w:rPr>
      <w:tblPr/>
      <w:tcPr>
        <w:tcBorders>
          <w:top w:val="double" w:sz="4" w:space="0" w:color="470A6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0A68" w:themeColor="accent6"/>
          <w:right w:val="single" w:sz="4" w:space="0" w:color="470A68" w:themeColor="accent6"/>
        </w:tcBorders>
      </w:tcPr>
    </w:tblStylePr>
    <w:tblStylePr w:type="band1Horz">
      <w:tblPr/>
      <w:tcPr>
        <w:tcBorders>
          <w:top w:val="single" w:sz="4" w:space="0" w:color="470A68" w:themeColor="accent6"/>
          <w:bottom w:val="single" w:sz="4" w:space="0" w:color="470A6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0A68" w:themeColor="accent6"/>
          <w:left w:val="nil"/>
        </w:tcBorders>
      </w:tcPr>
    </w:tblStylePr>
    <w:tblStylePr w:type="swCell">
      <w:tblPr/>
      <w:tcPr>
        <w:tcBorders>
          <w:top w:val="double" w:sz="4" w:space="0" w:color="470A68" w:themeColor="accent6"/>
          <w:right w:val="nil"/>
        </w:tcBorders>
      </w:tcPr>
    </w:tblStylePr>
  </w:style>
  <w:style w:type="table" w:styleId="ListTable3-Accent5">
    <w:name w:val="List Table 3 Accent 5"/>
    <w:basedOn w:val="TableNormal"/>
    <w:uiPriority w:val="48"/>
    <w:rsid w:val="00DB706C"/>
    <w:tblPr>
      <w:tblStyleRowBandSize w:val="1"/>
      <w:tblStyleColBandSize w:val="1"/>
      <w:tblBorders>
        <w:top w:val="single" w:sz="4" w:space="0" w:color="007481" w:themeColor="accent5"/>
        <w:left w:val="single" w:sz="4" w:space="0" w:color="007481" w:themeColor="accent5"/>
        <w:bottom w:val="single" w:sz="4" w:space="0" w:color="007481" w:themeColor="accent5"/>
        <w:right w:val="single" w:sz="4" w:space="0" w:color="007481" w:themeColor="accent5"/>
      </w:tblBorders>
    </w:tblPr>
    <w:tblStylePr w:type="firstRow">
      <w:rPr>
        <w:b/>
        <w:bCs/>
        <w:color w:val="FFFFFF" w:themeColor="background1"/>
      </w:rPr>
      <w:tblPr/>
      <w:tcPr>
        <w:shd w:val="clear" w:color="auto" w:fill="007481" w:themeFill="accent5"/>
      </w:tcPr>
    </w:tblStylePr>
    <w:tblStylePr w:type="lastRow">
      <w:rPr>
        <w:b/>
        <w:bCs/>
      </w:rPr>
      <w:tblPr/>
      <w:tcPr>
        <w:tcBorders>
          <w:top w:val="double" w:sz="4" w:space="0" w:color="00748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481" w:themeColor="accent5"/>
          <w:right w:val="single" w:sz="4" w:space="0" w:color="007481" w:themeColor="accent5"/>
        </w:tcBorders>
      </w:tcPr>
    </w:tblStylePr>
    <w:tblStylePr w:type="band1Horz">
      <w:tblPr/>
      <w:tcPr>
        <w:tcBorders>
          <w:top w:val="single" w:sz="4" w:space="0" w:color="007481" w:themeColor="accent5"/>
          <w:bottom w:val="single" w:sz="4" w:space="0" w:color="00748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481" w:themeColor="accent5"/>
          <w:left w:val="nil"/>
        </w:tcBorders>
      </w:tcPr>
    </w:tblStylePr>
    <w:tblStylePr w:type="swCell">
      <w:tblPr/>
      <w:tcPr>
        <w:tcBorders>
          <w:top w:val="double" w:sz="4" w:space="0" w:color="007481" w:themeColor="accent5"/>
          <w:right w:val="nil"/>
        </w:tcBorders>
      </w:tcPr>
    </w:tblStylePr>
  </w:style>
  <w:style w:type="table" w:styleId="GridTable5Dark-Accent4">
    <w:name w:val="Grid Table 5 Dark Accent 4"/>
    <w:basedOn w:val="TableNormal"/>
    <w:uiPriority w:val="50"/>
    <w:rsid w:val="00DB70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7E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78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78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78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78D" w:themeFill="accent4"/>
      </w:tcPr>
    </w:tblStylePr>
    <w:tblStylePr w:type="band1Vert">
      <w:tblPr/>
      <w:tcPr>
        <w:shd w:val="clear" w:color="auto" w:fill="C2AFD7" w:themeFill="accent4" w:themeFillTint="66"/>
      </w:tcPr>
    </w:tblStylePr>
    <w:tblStylePr w:type="band1Horz">
      <w:tblPr/>
      <w:tcPr>
        <w:shd w:val="clear" w:color="auto" w:fill="C2AFD7" w:themeFill="accent4" w:themeFillTint="66"/>
      </w:tcPr>
    </w:tblStylePr>
  </w:style>
  <w:style w:type="table" w:styleId="GridTable3-Accent3">
    <w:name w:val="Grid Table 3 Accent 3"/>
    <w:basedOn w:val="TableNormal"/>
    <w:uiPriority w:val="48"/>
    <w:rsid w:val="00743278"/>
    <w:tblPr>
      <w:tblStyleRowBandSize w:val="1"/>
      <w:tblStyleColBandSize w:val="1"/>
      <w:tblBorders>
        <w:top w:val="single" w:sz="4" w:space="0" w:color="F09489" w:themeColor="accent3" w:themeTint="99"/>
        <w:left w:val="single" w:sz="4" w:space="0" w:color="F09489" w:themeColor="accent3" w:themeTint="99"/>
        <w:bottom w:val="single" w:sz="4" w:space="0" w:color="F09489" w:themeColor="accent3" w:themeTint="99"/>
        <w:right w:val="single" w:sz="4" w:space="0" w:color="F09489" w:themeColor="accent3" w:themeTint="99"/>
        <w:insideH w:val="single" w:sz="4" w:space="0" w:color="F09489" w:themeColor="accent3" w:themeTint="99"/>
        <w:insideV w:val="single" w:sz="4" w:space="0" w:color="F094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7" w:themeFill="accent3" w:themeFillTint="33"/>
      </w:tcPr>
    </w:tblStylePr>
    <w:tblStylePr w:type="band1Horz">
      <w:tblPr/>
      <w:tcPr>
        <w:shd w:val="clear" w:color="auto" w:fill="FADBD7" w:themeFill="accent3" w:themeFillTint="33"/>
      </w:tcPr>
    </w:tblStylePr>
    <w:tblStylePr w:type="neCell">
      <w:tblPr/>
      <w:tcPr>
        <w:tcBorders>
          <w:bottom w:val="single" w:sz="4" w:space="0" w:color="F09489" w:themeColor="accent3" w:themeTint="99"/>
        </w:tcBorders>
      </w:tcPr>
    </w:tblStylePr>
    <w:tblStylePr w:type="nwCell">
      <w:tblPr/>
      <w:tcPr>
        <w:tcBorders>
          <w:bottom w:val="single" w:sz="4" w:space="0" w:color="F09489" w:themeColor="accent3" w:themeTint="99"/>
        </w:tcBorders>
      </w:tcPr>
    </w:tblStylePr>
    <w:tblStylePr w:type="seCell">
      <w:tblPr/>
      <w:tcPr>
        <w:tcBorders>
          <w:top w:val="single" w:sz="4" w:space="0" w:color="F09489" w:themeColor="accent3" w:themeTint="99"/>
        </w:tcBorders>
      </w:tcPr>
    </w:tblStylePr>
    <w:tblStylePr w:type="swCell">
      <w:tblPr/>
      <w:tcPr>
        <w:tcBorders>
          <w:top w:val="single" w:sz="4" w:space="0" w:color="F09489" w:themeColor="accent3" w:themeTint="99"/>
        </w:tcBorders>
      </w:tcPr>
    </w:tblStylePr>
  </w:style>
  <w:style w:type="table" w:styleId="TableGridLight">
    <w:name w:val="Grid Table Light"/>
    <w:aliases w:val="VCGLR table 2"/>
    <w:basedOn w:val="TableNormal"/>
    <w:uiPriority w:val="40"/>
    <w:rsid w:val="00743278"/>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blStylePr w:type="firstRow">
      <w:tblPr/>
      <w:tcPr>
        <w:shd w:val="clear" w:color="auto" w:fill="CCDCF4" w:themeFill="text1" w:themeFillTint="33"/>
      </w:tcPr>
    </w:tblStylePr>
  </w:style>
  <w:style w:type="paragraph" w:styleId="BalloonText">
    <w:name w:val="Balloon Text"/>
    <w:basedOn w:val="Normal"/>
    <w:link w:val="BalloonTextChar"/>
    <w:uiPriority w:val="99"/>
    <w:semiHidden/>
    <w:unhideWhenUsed/>
    <w:rsid w:val="00564359"/>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359"/>
    <w:rPr>
      <w:rFonts w:ascii="Times New Roman" w:hAnsi="Times New Roman" w:cs="Times New Roman"/>
      <w:sz w:val="18"/>
      <w:szCs w:val="18"/>
    </w:rPr>
  </w:style>
  <w:style w:type="paragraph" w:styleId="ListParagraph">
    <w:name w:val="List Paragraph"/>
    <w:basedOn w:val="Normal"/>
    <w:uiPriority w:val="34"/>
    <w:qFormat/>
    <w:rsid w:val="0064079E"/>
    <w:pPr>
      <w:ind w:left="720"/>
      <w:contextualSpacing/>
    </w:pPr>
  </w:style>
  <w:style w:type="paragraph" w:styleId="BodyText">
    <w:name w:val="Body Text"/>
    <w:link w:val="BodyTextChar"/>
    <w:rsid w:val="007A071E"/>
    <w:pPr>
      <w:spacing w:before="120" w:after="120"/>
      <w:ind w:left="794"/>
      <w:jc w:val="both"/>
    </w:pPr>
    <w:rPr>
      <w:rFonts w:ascii="Arial" w:eastAsia="Times New Roman" w:hAnsi="Arial" w:cs="Arial"/>
      <w:sz w:val="20"/>
      <w:lang w:val="en-AU"/>
    </w:rPr>
  </w:style>
  <w:style w:type="character" w:customStyle="1" w:styleId="BodyTextChar">
    <w:name w:val="Body Text Char"/>
    <w:basedOn w:val="DefaultParagraphFont"/>
    <w:link w:val="BodyText"/>
    <w:rsid w:val="007A071E"/>
    <w:rPr>
      <w:rFonts w:ascii="Arial" w:eastAsia="Times New Roman" w:hAnsi="Arial" w:cs="Arial"/>
      <w:sz w:val="20"/>
      <w:lang w:val="en-AU"/>
    </w:rPr>
  </w:style>
  <w:style w:type="paragraph" w:customStyle="1" w:styleId="Heading2List">
    <w:name w:val="Heading 2 List"/>
    <w:basedOn w:val="ListParagraph"/>
    <w:qFormat/>
    <w:rsid w:val="007A071E"/>
    <w:pPr>
      <w:keepNext/>
      <w:numPr>
        <w:numId w:val="33"/>
      </w:numPr>
      <w:spacing w:before="240" w:after="60"/>
      <w:outlineLvl w:val="0"/>
    </w:pPr>
    <w:rPr>
      <w:rFonts w:ascii="Arial Bold" w:eastAsia="Times New Roman" w:hAnsi="Arial Bold" w:cs="Arial"/>
      <w:b/>
      <w:color w:val="262B67" w:themeColor="text2"/>
      <w:sz w:val="36"/>
      <w:szCs w:val="36"/>
      <w:lang w:val="en-AU"/>
    </w:rPr>
  </w:style>
  <w:style w:type="table" w:styleId="GridTable5Dark-Accent6">
    <w:name w:val="Grid Table 5 Dark Accent 6"/>
    <w:basedOn w:val="TableNormal"/>
    <w:uiPriority w:val="50"/>
    <w:rsid w:val="00C67A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B6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0A6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0A6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0A6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0A68" w:themeFill="accent6"/>
      </w:tcPr>
    </w:tblStylePr>
    <w:tblStylePr w:type="band1Vert">
      <w:tblPr/>
      <w:tcPr>
        <w:shd w:val="clear" w:color="auto" w:fill="C26EF1" w:themeFill="accent6" w:themeFillTint="66"/>
      </w:tcPr>
    </w:tblStylePr>
    <w:tblStylePr w:type="band1Horz">
      <w:tblPr/>
      <w:tcPr>
        <w:shd w:val="clear" w:color="auto" w:fill="C26EF1" w:themeFill="accent6" w:themeFillTint="66"/>
      </w:tcPr>
    </w:tblStylePr>
  </w:style>
  <w:style w:type="paragraph" w:customStyle="1" w:styleId="BodyBody">
    <w:name w:val="Body (Body)"/>
    <w:basedOn w:val="Normal"/>
    <w:uiPriority w:val="99"/>
    <w:rsid w:val="00302AC6"/>
    <w:pPr>
      <w:suppressAutoHyphens/>
      <w:autoSpaceDE w:val="0"/>
      <w:autoSpaceDN w:val="0"/>
      <w:adjustRightInd w:val="0"/>
      <w:spacing w:after="113" w:line="288" w:lineRule="auto"/>
      <w:textAlignment w:val="center"/>
    </w:pPr>
    <w:rPr>
      <w:rFonts w:ascii="VIC" w:hAnsi="VIC" w:cs="VIC"/>
      <w:color w:val="000000"/>
      <w:sz w:val="24"/>
      <w:lang w:val="en-US"/>
    </w:rPr>
  </w:style>
  <w:style w:type="paragraph" w:customStyle="1" w:styleId="IntroParagraphDarkBlueBody">
    <w:name w:val="Intro Paragraph Dark Blue (Body)"/>
    <w:basedOn w:val="Normal"/>
    <w:next w:val="BodyBody"/>
    <w:uiPriority w:val="99"/>
    <w:rsid w:val="00302AC6"/>
    <w:pPr>
      <w:suppressAutoHyphens/>
      <w:autoSpaceDE w:val="0"/>
      <w:autoSpaceDN w:val="0"/>
      <w:adjustRightInd w:val="0"/>
      <w:spacing w:before="113" w:after="113" w:line="280" w:lineRule="atLeast"/>
      <w:textAlignment w:val="center"/>
    </w:pPr>
    <w:rPr>
      <w:rFonts w:ascii="VIC SemiBold" w:hAnsi="VIC SemiBold" w:cs="VIC SemiBold"/>
      <w:b/>
      <w:bCs/>
      <w:color w:val="000087"/>
      <w:sz w:val="24"/>
      <w:lang w:val="en-US"/>
    </w:rPr>
  </w:style>
  <w:style w:type="paragraph" w:customStyle="1" w:styleId="Bullet1Body">
    <w:name w:val="Bullet 1 (Body)"/>
    <w:basedOn w:val="BodyBody"/>
    <w:uiPriority w:val="99"/>
    <w:rsid w:val="00302AC6"/>
    <w:pPr>
      <w:spacing w:after="170"/>
      <w:ind w:left="283" w:hanging="283"/>
    </w:pPr>
  </w:style>
  <w:style w:type="character" w:customStyle="1" w:styleId="Actstyle">
    <w:name w:val="Act style"/>
    <w:uiPriority w:val="99"/>
    <w:rsid w:val="00302AC6"/>
  </w:style>
  <w:style w:type="paragraph" w:customStyle="1" w:styleId="H1BlueHeadings">
    <w:name w:val="H1 Blue (Headings)"/>
    <w:basedOn w:val="Normal"/>
    <w:uiPriority w:val="99"/>
    <w:rsid w:val="00302AC6"/>
    <w:pPr>
      <w:suppressAutoHyphens/>
      <w:autoSpaceDE w:val="0"/>
      <w:autoSpaceDN w:val="0"/>
      <w:adjustRightInd w:val="0"/>
      <w:spacing w:after="227" w:line="620" w:lineRule="atLeast"/>
      <w:textAlignment w:val="center"/>
    </w:pPr>
    <w:rPr>
      <w:rFonts w:ascii="VIC" w:hAnsi="VIC" w:cs="VIC"/>
      <w:b/>
      <w:bCs/>
      <w:color w:val="1447FF"/>
      <w:sz w:val="60"/>
      <w:szCs w:val="60"/>
      <w:lang w:val="en-US"/>
    </w:rPr>
  </w:style>
  <w:style w:type="paragraph" w:customStyle="1" w:styleId="NoParagraphStyle">
    <w:name w:val="[No Paragraph Style]"/>
    <w:rsid w:val="00302AC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IntroParagraphDarkBlueSpan2columnsBody">
    <w:name w:val="Intro Paragraph Dark Blue (Span 2 columns) (Body)"/>
    <w:basedOn w:val="NoParagraphStyle"/>
    <w:next w:val="BodyBody"/>
    <w:uiPriority w:val="99"/>
    <w:rsid w:val="00302AC6"/>
    <w:pPr>
      <w:suppressAutoHyphens/>
      <w:spacing w:before="113" w:after="113" w:line="260" w:lineRule="atLeast"/>
    </w:pPr>
    <w:rPr>
      <w:rFonts w:ascii="VIC SemiBold" w:hAnsi="VIC SemiBold" w:cs="VIC SemiBold"/>
      <w:b/>
      <w:bCs/>
      <w:color w:val="000087"/>
    </w:rPr>
  </w:style>
  <w:style w:type="paragraph" w:customStyle="1" w:styleId="H4GreyHeadings">
    <w:name w:val="H4 Grey (Headings)"/>
    <w:basedOn w:val="Normal"/>
    <w:uiPriority w:val="99"/>
    <w:rsid w:val="00302AC6"/>
    <w:pPr>
      <w:suppressAutoHyphens/>
      <w:autoSpaceDE w:val="0"/>
      <w:autoSpaceDN w:val="0"/>
      <w:adjustRightInd w:val="0"/>
      <w:spacing w:before="170" w:after="113" w:line="288" w:lineRule="auto"/>
      <w:textAlignment w:val="center"/>
    </w:pPr>
    <w:rPr>
      <w:rFonts w:ascii="VIC Medium" w:hAnsi="VIC Medium" w:cs="VIC Medium"/>
      <w:b/>
      <w:bCs/>
      <w:color w:val="000000"/>
      <w:sz w:val="24"/>
      <w:lang w:val="en-US"/>
    </w:rPr>
  </w:style>
  <w:style w:type="paragraph" w:customStyle="1" w:styleId="TableBodyTables">
    <w:name w:val="Table Body (Tables)"/>
    <w:basedOn w:val="BodyBody"/>
    <w:uiPriority w:val="99"/>
    <w:rsid w:val="00302AC6"/>
    <w:pPr>
      <w:spacing w:line="270" w:lineRule="atLeast"/>
    </w:pPr>
    <w:rPr>
      <w:sz w:val="23"/>
      <w:szCs w:val="23"/>
    </w:rPr>
  </w:style>
  <w:style w:type="paragraph" w:customStyle="1" w:styleId="H2GreenHeadings">
    <w:name w:val="H2 Green (Headings)"/>
    <w:basedOn w:val="NoParagraphStyle"/>
    <w:uiPriority w:val="99"/>
    <w:rsid w:val="00302AC6"/>
    <w:pPr>
      <w:suppressAutoHyphens/>
      <w:spacing w:before="170" w:after="113" w:line="380" w:lineRule="atLeast"/>
    </w:pPr>
    <w:rPr>
      <w:rFonts w:ascii="VIC SemiBold" w:hAnsi="VIC SemiBold" w:cs="VIC SemiBold"/>
      <w:b/>
      <w:bCs/>
      <w:color w:val="32B34A"/>
      <w:sz w:val="38"/>
      <w:szCs w:val="38"/>
    </w:rPr>
  </w:style>
  <w:style w:type="paragraph" w:customStyle="1" w:styleId="BoxtextwhitePulloutboxes">
    <w:name w:val="Box text white (Pull out boxes)"/>
    <w:basedOn w:val="NoParagraphStyle"/>
    <w:uiPriority w:val="99"/>
    <w:rsid w:val="00BE4ECC"/>
    <w:pPr>
      <w:suppressAutoHyphens/>
      <w:spacing w:after="113" w:line="240" w:lineRule="atLeast"/>
    </w:pPr>
    <w:rPr>
      <w:rFonts w:ascii="VIC" w:hAnsi="VIC" w:cs="VIC"/>
      <w:color w:val="FFFFFF"/>
      <w:spacing w:val="-4"/>
      <w:sz w:val="20"/>
      <w:szCs w:val="20"/>
    </w:rPr>
  </w:style>
  <w:style w:type="paragraph" w:customStyle="1" w:styleId="NumberlistBody">
    <w:name w:val="Number list (Body)"/>
    <w:basedOn w:val="NoParagraphStyle"/>
    <w:uiPriority w:val="99"/>
    <w:rsid w:val="00BE4ECC"/>
    <w:pPr>
      <w:suppressAutoHyphens/>
      <w:spacing w:after="57"/>
      <w:ind w:left="283" w:hanging="283"/>
    </w:pPr>
    <w:rPr>
      <w:rFonts w:ascii="VIC" w:hAnsi="VIC" w:cs="VIC"/>
    </w:rPr>
  </w:style>
  <w:style w:type="paragraph" w:customStyle="1" w:styleId="H1whiteHeadings">
    <w:name w:val="H1 white (Headings)"/>
    <w:basedOn w:val="NoParagraphStyle"/>
    <w:uiPriority w:val="99"/>
    <w:rsid w:val="006C58F9"/>
    <w:pPr>
      <w:spacing w:after="113"/>
    </w:pPr>
    <w:rPr>
      <w:rFonts w:ascii="VIC SemiBold" w:hAnsi="VIC SemiBold" w:cs="VIC SemiBold"/>
      <w:b/>
      <w:bCs/>
      <w:color w:val="FFFF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emf"/><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CGLR 2020 new branding palette">
      <a:dk1>
        <a:srgbClr val="2459A9"/>
      </a:dk1>
      <a:lt1>
        <a:srgbClr val="FFFFFF"/>
      </a:lt1>
      <a:dk2>
        <a:srgbClr val="262B67"/>
      </a:dk2>
      <a:lt2>
        <a:srgbClr val="FFFFFF"/>
      </a:lt2>
      <a:accent1>
        <a:srgbClr val="3CAE49"/>
      </a:accent1>
      <a:accent2>
        <a:srgbClr val="0090DA"/>
      </a:accent2>
      <a:accent3>
        <a:srgbClr val="E74F3C"/>
      </a:accent3>
      <a:accent4>
        <a:srgbClr val="68478D"/>
      </a:accent4>
      <a:accent5>
        <a:srgbClr val="007481"/>
      </a:accent5>
      <a:accent6>
        <a:srgbClr val="470A68"/>
      </a:accent6>
      <a:hlink>
        <a:srgbClr val="004C97"/>
      </a:hlink>
      <a:folHlink>
        <a:srgbClr val="003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5C209-B9EB-4D46-B301-F7849604B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21</Pages>
  <Words>5063</Words>
  <Characters>28860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VCGLR_report_generic_sections.docx</vt:lpstr>
    </vt:vector>
  </TitlesOfParts>
  <Company/>
  <LinksUpToDate>false</LinksUpToDate>
  <CharactersWithSpaces>33856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VCGLR_report_generic_sections.docx</dc:title>
  <dc:subject/>
  <dc:creator>Brooke Wilson</dc:creator>
  <cp:keywords/>
  <dc:description/>
  <cp:lastModifiedBy>Daisy Lewis-Toakley</cp:lastModifiedBy>
  <cp:revision>15</cp:revision>
  <dcterms:created xsi:type="dcterms:W3CDTF">2020-09-10T01:40:00Z</dcterms:created>
  <dcterms:modified xsi:type="dcterms:W3CDTF">2020-09-10T04:46:00Z</dcterms:modified>
</cp:coreProperties>
</file>