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F87E3A" w14:textId="7A4E8830" w:rsidR="005C1D6D" w:rsidRPr="005C1D6D" w:rsidRDefault="00034603" w:rsidP="005C1D6D">
      <w:pPr>
        <w:pStyle w:val="Heading1"/>
        <w:rPr>
          <w:color w:val="262B67" w:themeColor="text2"/>
          <w:sz w:val="52"/>
          <w:szCs w:val="36"/>
          <w:lang w:val="en-AU"/>
        </w:rPr>
      </w:pPr>
      <w:bookmarkStart w:id="0" w:name="_Toc61436881"/>
      <w:r>
        <w:rPr>
          <w:color w:val="262B67" w:themeColor="text2"/>
          <w:sz w:val="52"/>
          <w:szCs w:val="36"/>
          <w:lang w:val="en-AU"/>
        </w:rPr>
        <w:t xml:space="preserve">VCGLR Governance Framework </w:t>
      </w:r>
      <w:r w:rsidR="00143E0C">
        <w:rPr>
          <w:color w:val="262B67" w:themeColor="text2"/>
          <w:sz w:val="52"/>
          <w:szCs w:val="36"/>
          <w:lang w:val="en-AU"/>
        </w:rPr>
        <w:t>V4.0</w:t>
      </w:r>
      <w:bookmarkEnd w:id="0"/>
    </w:p>
    <w:p w14:paraId="5C58DBEB" w14:textId="69B9EA92" w:rsidR="00034603" w:rsidRDefault="00034603" w:rsidP="00034603"/>
    <w:p w14:paraId="1C68C92B" w14:textId="77777777" w:rsidR="00034603" w:rsidRPr="00034603" w:rsidRDefault="00034603" w:rsidP="00034603">
      <w:pPr>
        <w:sectPr w:rsidR="00034603" w:rsidRPr="00034603" w:rsidSect="00C222E9">
          <w:headerReference w:type="even" r:id="rId8"/>
          <w:headerReference w:type="default" r:id="rId9"/>
          <w:footerReference w:type="even" r:id="rId10"/>
          <w:footerReference w:type="default" r:id="rId11"/>
          <w:headerReference w:type="first" r:id="rId12"/>
          <w:footerReference w:type="first" r:id="rId13"/>
          <w:pgSz w:w="11900" w:h="16840"/>
          <w:pgMar w:top="1134" w:right="1134" w:bottom="1701" w:left="1134" w:header="709" w:footer="709" w:gutter="0"/>
          <w:cols w:space="708"/>
          <w:docGrid w:linePitch="360"/>
        </w:sectPr>
      </w:pPr>
    </w:p>
    <w:sdt>
      <w:sdtPr>
        <w:rPr>
          <w:rFonts w:asciiTheme="minorHAnsi" w:eastAsiaTheme="minorHAnsi" w:hAnsiTheme="minorHAnsi" w:cstheme="minorBidi"/>
          <w:b w:val="0"/>
          <w:bCs w:val="0"/>
          <w:color w:val="auto"/>
          <w:sz w:val="24"/>
          <w:szCs w:val="24"/>
          <w:lang w:val="en-GB"/>
        </w:rPr>
        <w:id w:val="-1320882233"/>
        <w:docPartObj>
          <w:docPartGallery w:val="Table of Contents"/>
          <w:docPartUnique/>
        </w:docPartObj>
      </w:sdtPr>
      <w:sdtEndPr>
        <w:rPr>
          <w:noProof/>
        </w:rPr>
      </w:sdtEndPr>
      <w:sdtContent>
        <w:p w14:paraId="33B1FAD1" w14:textId="77777777" w:rsidR="00C222E9" w:rsidRPr="005C1D6D" w:rsidRDefault="00C222E9" w:rsidP="00C222E9">
          <w:pPr>
            <w:pStyle w:val="TOCHeading"/>
            <w:rPr>
              <w:rStyle w:val="Heading1Char"/>
              <w:b/>
              <w:bCs w:val="0"/>
            </w:rPr>
          </w:pPr>
          <w:r w:rsidRPr="005C1D6D">
            <w:rPr>
              <w:rStyle w:val="Heading1Char"/>
              <w:b/>
              <w:bCs w:val="0"/>
            </w:rPr>
            <w:t>Table of Contents</w:t>
          </w:r>
        </w:p>
        <w:p w14:paraId="24018CEE" w14:textId="661E702F" w:rsidR="00794356" w:rsidRDefault="00C222E9">
          <w:pPr>
            <w:pStyle w:val="TOC1"/>
            <w:tabs>
              <w:tab w:val="right" w:leader="dot" w:pos="9622"/>
            </w:tabs>
            <w:rPr>
              <w:rFonts w:eastAsiaTheme="minorEastAsia" w:cstheme="minorBidi"/>
              <w:b w:val="0"/>
              <w:bCs w:val="0"/>
              <w:iCs w:val="0"/>
              <w:noProof/>
              <w:sz w:val="22"/>
              <w:szCs w:val="22"/>
              <w:lang w:val="en-AU" w:eastAsia="en-AU"/>
            </w:rPr>
          </w:pPr>
          <w:r>
            <w:rPr>
              <w:b w:val="0"/>
              <w:bCs w:val="0"/>
            </w:rPr>
            <w:fldChar w:fldCharType="begin"/>
          </w:r>
          <w:r>
            <w:instrText xml:space="preserve"> TOC \o "1-3" \h \z \u </w:instrText>
          </w:r>
          <w:r>
            <w:rPr>
              <w:b w:val="0"/>
              <w:bCs w:val="0"/>
            </w:rPr>
            <w:fldChar w:fldCharType="separate"/>
          </w:r>
          <w:hyperlink w:anchor="_Toc61436881" w:history="1">
            <w:r w:rsidR="00794356" w:rsidRPr="00BB7EE2">
              <w:rPr>
                <w:rStyle w:val="Hyperlink"/>
                <w:noProof/>
                <w:lang w:val="en-AU"/>
              </w:rPr>
              <w:t>VCGLR Governance Framework V4.0</w:t>
            </w:r>
            <w:r w:rsidR="00794356">
              <w:rPr>
                <w:noProof/>
                <w:webHidden/>
              </w:rPr>
              <w:tab/>
            </w:r>
            <w:r w:rsidR="00794356">
              <w:rPr>
                <w:noProof/>
                <w:webHidden/>
              </w:rPr>
              <w:fldChar w:fldCharType="begin"/>
            </w:r>
            <w:r w:rsidR="00794356">
              <w:rPr>
                <w:noProof/>
                <w:webHidden/>
              </w:rPr>
              <w:instrText xml:space="preserve"> PAGEREF _Toc61436881 \h </w:instrText>
            </w:r>
            <w:r w:rsidR="00794356">
              <w:rPr>
                <w:noProof/>
                <w:webHidden/>
              </w:rPr>
            </w:r>
            <w:r w:rsidR="00794356">
              <w:rPr>
                <w:noProof/>
                <w:webHidden/>
              </w:rPr>
              <w:fldChar w:fldCharType="separate"/>
            </w:r>
            <w:r w:rsidR="00794356">
              <w:rPr>
                <w:noProof/>
                <w:webHidden/>
              </w:rPr>
              <w:t>1</w:t>
            </w:r>
            <w:r w:rsidR="00794356">
              <w:rPr>
                <w:noProof/>
                <w:webHidden/>
              </w:rPr>
              <w:fldChar w:fldCharType="end"/>
            </w:r>
          </w:hyperlink>
        </w:p>
        <w:p w14:paraId="6A8855CF" w14:textId="614ECB95" w:rsidR="00794356" w:rsidRDefault="00A56867">
          <w:pPr>
            <w:pStyle w:val="TOC1"/>
            <w:tabs>
              <w:tab w:val="left" w:pos="442"/>
              <w:tab w:val="right" w:leader="dot" w:pos="9622"/>
            </w:tabs>
            <w:rPr>
              <w:rFonts w:eastAsiaTheme="minorEastAsia" w:cstheme="minorBidi"/>
              <w:b w:val="0"/>
              <w:bCs w:val="0"/>
              <w:iCs w:val="0"/>
              <w:noProof/>
              <w:sz w:val="22"/>
              <w:szCs w:val="22"/>
              <w:lang w:val="en-AU" w:eastAsia="en-AU"/>
            </w:rPr>
          </w:pPr>
          <w:hyperlink w:anchor="_Toc61436882" w:history="1">
            <w:r w:rsidR="00794356" w:rsidRPr="00BB7EE2">
              <w:rPr>
                <w:rStyle w:val="Hyperlink"/>
                <w:noProof/>
                <w:lang w:val="en-AU"/>
              </w:rPr>
              <w:t>1.</w:t>
            </w:r>
            <w:r w:rsidR="00794356">
              <w:rPr>
                <w:rFonts w:eastAsiaTheme="minorEastAsia" w:cstheme="minorBidi"/>
                <w:b w:val="0"/>
                <w:bCs w:val="0"/>
                <w:iCs w:val="0"/>
                <w:noProof/>
                <w:sz w:val="22"/>
                <w:szCs w:val="22"/>
                <w:lang w:val="en-AU" w:eastAsia="en-AU"/>
              </w:rPr>
              <w:tab/>
            </w:r>
            <w:r w:rsidR="00794356" w:rsidRPr="00BB7EE2">
              <w:rPr>
                <w:rStyle w:val="Hyperlink"/>
                <w:noProof/>
                <w:lang w:val="en-AU"/>
              </w:rPr>
              <w:t>Introduction</w:t>
            </w:r>
            <w:r w:rsidR="00794356">
              <w:rPr>
                <w:noProof/>
                <w:webHidden/>
              </w:rPr>
              <w:tab/>
            </w:r>
            <w:r w:rsidR="00794356">
              <w:rPr>
                <w:noProof/>
                <w:webHidden/>
              </w:rPr>
              <w:fldChar w:fldCharType="begin"/>
            </w:r>
            <w:r w:rsidR="00794356">
              <w:rPr>
                <w:noProof/>
                <w:webHidden/>
              </w:rPr>
              <w:instrText xml:space="preserve"> PAGEREF _Toc61436882 \h </w:instrText>
            </w:r>
            <w:r w:rsidR="00794356">
              <w:rPr>
                <w:noProof/>
                <w:webHidden/>
              </w:rPr>
            </w:r>
            <w:r w:rsidR="00794356">
              <w:rPr>
                <w:noProof/>
                <w:webHidden/>
              </w:rPr>
              <w:fldChar w:fldCharType="separate"/>
            </w:r>
            <w:r w:rsidR="00794356">
              <w:rPr>
                <w:noProof/>
                <w:webHidden/>
              </w:rPr>
              <w:t>3</w:t>
            </w:r>
            <w:r w:rsidR="00794356">
              <w:rPr>
                <w:noProof/>
                <w:webHidden/>
              </w:rPr>
              <w:fldChar w:fldCharType="end"/>
            </w:r>
          </w:hyperlink>
        </w:p>
        <w:p w14:paraId="0B50CDC1" w14:textId="37247A9D" w:rsidR="00794356" w:rsidRDefault="00A56867">
          <w:pPr>
            <w:pStyle w:val="TOC1"/>
            <w:tabs>
              <w:tab w:val="left" w:pos="660"/>
              <w:tab w:val="right" w:leader="dot" w:pos="9622"/>
            </w:tabs>
            <w:rPr>
              <w:rFonts w:eastAsiaTheme="minorEastAsia" w:cstheme="minorBidi"/>
              <w:b w:val="0"/>
              <w:bCs w:val="0"/>
              <w:iCs w:val="0"/>
              <w:noProof/>
              <w:sz w:val="22"/>
              <w:szCs w:val="22"/>
              <w:lang w:val="en-AU" w:eastAsia="en-AU"/>
            </w:rPr>
          </w:pPr>
          <w:hyperlink w:anchor="_Toc61436883" w:history="1">
            <w:r w:rsidR="00794356" w:rsidRPr="00BB7EE2">
              <w:rPr>
                <w:rStyle w:val="Hyperlink"/>
                <w:noProof/>
                <w:lang w:val="en-AU"/>
              </w:rPr>
              <w:t>1.1</w:t>
            </w:r>
            <w:r w:rsidR="00794356">
              <w:rPr>
                <w:rFonts w:eastAsiaTheme="minorEastAsia" w:cstheme="minorBidi"/>
                <w:b w:val="0"/>
                <w:bCs w:val="0"/>
                <w:iCs w:val="0"/>
                <w:noProof/>
                <w:sz w:val="22"/>
                <w:szCs w:val="22"/>
                <w:lang w:val="en-AU" w:eastAsia="en-AU"/>
              </w:rPr>
              <w:tab/>
            </w:r>
            <w:r w:rsidR="00794356" w:rsidRPr="00BB7EE2">
              <w:rPr>
                <w:rStyle w:val="Hyperlink"/>
                <w:noProof/>
                <w:lang w:val="en-AU"/>
              </w:rPr>
              <w:t>Background</w:t>
            </w:r>
            <w:r w:rsidR="00794356">
              <w:rPr>
                <w:noProof/>
                <w:webHidden/>
              </w:rPr>
              <w:tab/>
            </w:r>
            <w:r w:rsidR="00794356">
              <w:rPr>
                <w:noProof/>
                <w:webHidden/>
              </w:rPr>
              <w:fldChar w:fldCharType="begin"/>
            </w:r>
            <w:r w:rsidR="00794356">
              <w:rPr>
                <w:noProof/>
                <w:webHidden/>
              </w:rPr>
              <w:instrText xml:space="preserve"> PAGEREF _Toc61436883 \h </w:instrText>
            </w:r>
            <w:r w:rsidR="00794356">
              <w:rPr>
                <w:noProof/>
                <w:webHidden/>
              </w:rPr>
            </w:r>
            <w:r w:rsidR="00794356">
              <w:rPr>
                <w:noProof/>
                <w:webHidden/>
              </w:rPr>
              <w:fldChar w:fldCharType="separate"/>
            </w:r>
            <w:r w:rsidR="00794356">
              <w:rPr>
                <w:noProof/>
                <w:webHidden/>
              </w:rPr>
              <w:t>3</w:t>
            </w:r>
            <w:r w:rsidR="00794356">
              <w:rPr>
                <w:noProof/>
                <w:webHidden/>
              </w:rPr>
              <w:fldChar w:fldCharType="end"/>
            </w:r>
          </w:hyperlink>
        </w:p>
        <w:p w14:paraId="35F219A4" w14:textId="19A0B7FC" w:rsidR="00794356" w:rsidRDefault="00A56867">
          <w:pPr>
            <w:pStyle w:val="TOC1"/>
            <w:tabs>
              <w:tab w:val="left" w:pos="660"/>
              <w:tab w:val="right" w:leader="dot" w:pos="9622"/>
            </w:tabs>
            <w:rPr>
              <w:rFonts w:eastAsiaTheme="minorEastAsia" w:cstheme="minorBidi"/>
              <w:b w:val="0"/>
              <w:bCs w:val="0"/>
              <w:iCs w:val="0"/>
              <w:noProof/>
              <w:sz w:val="22"/>
              <w:szCs w:val="22"/>
              <w:lang w:val="en-AU" w:eastAsia="en-AU"/>
            </w:rPr>
          </w:pPr>
          <w:hyperlink w:anchor="_Toc61436884" w:history="1">
            <w:r w:rsidR="00794356" w:rsidRPr="00BB7EE2">
              <w:rPr>
                <w:rStyle w:val="Hyperlink"/>
                <w:noProof/>
                <w:lang w:val="en-AU"/>
              </w:rPr>
              <w:t>1.2</w:t>
            </w:r>
            <w:r w:rsidR="00794356">
              <w:rPr>
                <w:rFonts w:eastAsiaTheme="minorEastAsia" w:cstheme="minorBidi"/>
                <w:b w:val="0"/>
                <w:bCs w:val="0"/>
                <w:iCs w:val="0"/>
                <w:noProof/>
                <w:sz w:val="22"/>
                <w:szCs w:val="22"/>
                <w:lang w:val="en-AU" w:eastAsia="en-AU"/>
              </w:rPr>
              <w:tab/>
            </w:r>
            <w:r w:rsidR="00794356" w:rsidRPr="00BB7EE2">
              <w:rPr>
                <w:rStyle w:val="Hyperlink"/>
                <w:noProof/>
                <w:lang w:val="en-AU"/>
              </w:rPr>
              <w:t>Purpose</w:t>
            </w:r>
            <w:r w:rsidR="00794356">
              <w:rPr>
                <w:noProof/>
                <w:webHidden/>
              </w:rPr>
              <w:tab/>
            </w:r>
            <w:r w:rsidR="00794356">
              <w:rPr>
                <w:noProof/>
                <w:webHidden/>
              </w:rPr>
              <w:fldChar w:fldCharType="begin"/>
            </w:r>
            <w:r w:rsidR="00794356">
              <w:rPr>
                <w:noProof/>
                <w:webHidden/>
              </w:rPr>
              <w:instrText xml:space="preserve"> PAGEREF _Toc61436884 \h </w:instrText>
            </w:r>
            <w:r w:rsidR="00794356">
              <w:rPr>
                <w:noProof/>
                <w:webHidden/>
              </w:rPr>
            </w:r>
            <w:r w:rsidR="00794356">
              <w:rPr>
                <w:noProof/>
                <w:webHidden/>
              </w:rPr>
              <w:fldChar w:fldCharType="separate"/>
            </w:r>
            <w:r w:rsidR="00794356">
              <w:rPr>
                <w:noProof/>
                <w:webHidden/>
              </w:rPr>
              <w:t>3</w:t>
            </w:r>
            <w:r w:rsidR="00794356">
              <w:rPr>
                <w:noProof/>
                <w:webHidden/>
              </w:rPr>
              <w:fldChar w:fldCharType="end"/>
            </w:r>
          </w:hyperlink>
        </w:p>
        <w:p w14:paraId="23CE68B8" w14:textId="4D17B6A8" w:rsidR="00794356" w:rsidRDefault="00A56867">
          <w:pPr>
            <w:pStyle w:val="TOC1"/>
            <w:tabs>
              <w:tab w:val="left" w:pos="442"/>
              <w:tab w:val="right" w:leader="dot" w:pos="9622"/>
            </w:tabs>
            <w:rPr>
              <w:rFonts w:eastAsiaTheme="minorEastAsia" w:cstheme="minorBidi"/>
              <w:b w:val="0"/>
              <w:bCs w:val="0"/>
              <w:iCs w:val="0"/>
              <w:noProof/>
              <w:sz w:val="22"/>
              <w:szCs w:val="22"/>
              <w:lang w:val="en-AU" w:eastAsia="en-AU"/>
            </w:rPr>
          </w:pPr>
          <w:hyperlink w:anchor="_Toc61436885" w:history="1">
            <w:r w:rsidR="00794356" w:rsidRPr="00BB7EE2">
              <w:rPr>
                <w:rStyle w:val="Hyperlink"/>
                <w:noProof/>
                <w:lang w:val="en-AU"/>
              </w:rPr>
              <w:t>2.</w:t>
            </w:r>
            <w:r w:rsidR="00794356">
              <w:rPr>
                <w:rFonts w:eastAsiaTheme="minorEastAsia" w:cstheme="minorBidi"/>
                <w:b w:val="0"/>
                <w:bCs w:val="0"/>
                <w:iCs w:val="0"/>
                <w:noProof/>
                <w:sz w:val="22"/>
                <w:szCs w:val="22"/>
                <w:lang w:val="en-AU" w:eastAsia="en-AU"/>
              </w:rPr>
              <w:tab/>
            </w:r>
            <w:r w:rsidR="00794356" w:rsidRPr="00BB7EE2">
              <w:rPr>
                <w:rStyle w:val="Hyperlink"/>
                <w:noProof/>
                <w:lang w:val="en-AU"/>
              </w:rPr>
              <w:t>Corporate governance overview</w:t>
            </w:r>
            <w:r w:rsidR="00794356">
              <w:rPr>
                <w:noProof/>
                <w:webHidden/>
              </w:rPr>
              <w:tab/>
            </w:r>
            <w:r w:rsidR="00794356">
              <w:rPr>
                <w:noProof/>
                <w:webHidden/>
              </w:rPr>
              <w:fldChar w:fldCharType="begin"/>
            </w:r>
            <w:r w:rsidR="00794356">
              <w:rPr>
                <w:noProof/>
                <w:webHidden/>
              </w:rPr>
              <w:instrText xml:space="preserve"> PAGEREF _Toc61436885 \h </w:instrText>
            </w:r>
            <w:r w:rsidR="00794356">
              <w:rPr>
                <w:noProof/>
                <w:webHidden/>
              </w:rPr>
            </w:r>
            <w:r w:rsidR="00794356">
              <w:rPr>
                <w:noProof/>
                <w:webHidden/>
              </w:rPr>
              <w:fldChar w:fldCharType="separate"/>
            </w:r>
            <w:r w:rsidR="00794356">
              <w:rPr>
                <w:noProof/>
                <w:webHidden/>
              </w:rPr>
              <w:t>4</w:t>
            </w:r>
            <w:r w:rsidR="00794356">
              <w:rPr>
                <w:noProof/>
                <w:webHidden/>
              </w:rPr>
              <w:fldChar w:fldCharType="end"/>
            </w:r>
          </w:hyperlink>
        </w:p>
        <w:p w14:paraId="409420E7" w14:textId="707F4970" w:rsidR="00794356" w:rsidRDefault="00A56867">
          <w:pPr>
            <w:pStyle w:val="TOC1"/>
            <w:tabs>
              <w:tab w:val="left" w:pos="442"/>
              <w:tab w:val="right" w:leader="dot" w:pos="9622"/>
            </w:tabs>
            <w:rPr>
              <w:rFonts w:eastAsiaTheme="minorEastAsia" w:cstheme="minorBidi"/>
              <w:b w:val="0"/>
              <w:bCs w:val="0"/>
              <w:iCs w:val="0"/>
              <w:noProof/>
              <w:sz w:val="22"/>
              <w:szCs w:val="22"/>
              <w:lang w:val="en-AU" w:eastAsia="en-AU"/>
            </w:rPr>
          </w:pPr>
          <w:hyperlink w:anchor="_Toc61436886" w:history="1">
            <w:r w:rsidR="00794356" w:rsidRPr="00BB7EE2">
              <w:rPr>
                <w:rStyle w:val="Hyperlink"/>
                <w:noProof/>
              </w:rPr>
              <w:t>3.</w:t>
            </w:r>
            <w:r w:rsidR="00794356">
              <w:rPr>
                <w:rFonts w:eastAsiaTheme="minorEastAsia" w:cstheme="minorBidi"/>
                <w:b w:val="0"/>
                <w:bCs w:val="0"/>
                <w:iCs w:val="0"/>
                <w:noProof/>
                <w:sz w:val="22"/>
                <w:szCs w:val="22"/>
                <w:lang w:val="en-AU" w:eastAsia="en-AU"/>
              </w:rPr>
              <w:tab/>
            </w:r>
            <w:r w:rsidR="00794356" w:rsidRPr="00BB7EE2">
              <w:rPr>
                <w:rStyle w:val="Hyperlink"/>
                <w:noProof/>
              </w:rPr>
              <w:t>Corporate governance principles</w:t>
            </w:r>
            <w:r w:rsidR="00794356">
              <w:rPr>
                <w:noProof/>
                <w:webHidden/>
              </w:rPr>
              <w:tab/>
            </w:r>
            <w:r w:rsidR="00794356">
              <w:rPr>
                <w:noProof/>
                <w:webHidden/>
              </w:rPr>
              <w:fldChar w:fldCharType="begin"/>
            </w:r>
            <w:r w:rsidR="00794356">
              <w:rPr>
                <w:noProof/>
                <w:webHidden/>
              </w:rPr>
              <w:instrText xml:space="preserve"> PAGEREF _Toc61436886 \h </w:instrText>
            </w:r>
            <w:r w:rsidR="00794356">
              <w:rPr>
                <w:noProof/>
                <w:webHidden/>
              </w:rPr>
            </w:r>
            <w:r w:rsidR="00794356">
              <w:rPr>
                <w:noProof/>
                <w:webHidden/>
              </w:rPr>
              <w:fldChar w:fldCharType="separate"/>
            </w:r>
            <w:r w:rsidR="00794356">
              <w:rPr>
                <w:noProof/>
                <w:webHidden/>
              </w:rPr>
              <w:t>5</w:t>
            </w:r>
            <w:r w:rsidR="00794356">
              <w:rPr>
                <w:noProof/>
                <w:webHidden/>
              </w:rPr>
              <w:fldChar w:fldCharType="end"/>
            </w:r>
          </w:hyperlink>
        </w:p>
        <w:p w14:paraId="0DBF1164" w14:textId="245DB763" w:rsidR="00794356" w:rsidRDefault="00A56867">
          <w:pPr>
            <w:pStyle w:val="TOC1"/>
            <w:tabs>
              <w:tab w:val="left" w:pos="442"/>
              <w:tab w:val="right" w:leader="dot" w:pos="9622"/>
            </w:tabs>
            <w:rPr>
              <w:rFonts w:eastAsiaTheme="minorEastAsia" w:cstheme="minorBidi"/>
              <w:b w:val="0"/>
              <w:bCs w:val="0"/>
              <w:iCs w:val="0"/>
              <w:noProof/>
              <w:sz w:val="22"/>
              <w:szCs w:val="22"/>
              <w:lang w:val="en-AU" w:eastAsia="en-AU"/>
            </w:rPr>
          </w:pPr>
          <w:hyperlink w:anchor="_Toc61436887" w:history="1">
            <w:r w:rsidR="00794356" w:rsidRPr="00BB7EE2">
              <w:rPr>
                <w:rStyle w:val="Hyperlink"/>
                <w:noProof/>
              </w:rPr>
              <w:t>4.</w:t>
            </w:r>
            <w:r w:rsidR="00794356">
              <w:rPr>
                <w:rFonts w:eastAsiaTheme="minorEastAsia" w:cstheme="minorBidi"/>
                <w:b w:val="0"/>
                <w:bCs w:val="0"/>
                <w:iCs w:val="0"/>
                <w:noProof/>
                <w:sz w:val="22"/>
                <w:szCs w:val="22"/>
                <w:lang w:val="en-AU" w:eastAsia="en-AU"/>
              </w:rPr>
              <w:tab/>
            </w:r>
            <w:r w:rsidR="00794356" w:rsidRPr="00BB7EE2">
              <w:rPr>
                <w:rStyle w:val="Hyperlink"/>
                <w:noProof/>
              </w:rPr>
              <w:t>Governance practices &amp; implementation</w:t>
            </w:r>
            <w:r w:rsidR="00794356">
              <w:rPr>
                <w:noProof/>
                <w:webHidden/>
              </w:rPr>
              <w:tab/>
            </w:r>
            <w:r w:rsidR="00794356">
              <w:rPr>
                <w:noProof/>
                <w:webHidden/>
              </w:rPr>
              <w:fldChar w:fldCharType="begin"/>
            </w:r>
            <w:r w:rsidR="00794356">
              <w:rPr>
                <w:noProof/>
                <w:webHidden/>
              </w:rPr>
              <w:instrText xml:space="preserve"> PAGEREF _Toc61436887 \h </w:instrText>
            </w:r>
            <w:r w:rsidR="00794356">
              <w:rPr>
                <w:noProof/>
                <w:webHidden/>
              </w:rPr>
            </w:r>
            <w:r w:rsidR="00794356">
              <w:rPr>
                <w:noProof/>
                <w:webHidden/>
              </w:rPr>
              <w:fldChar w:fldCharType="separate"/>
            </w:r>
            <w:r w:rsidR="00794356">
              <w:rPr>
                <w:noProof/>
                <w:webHidden/>
              </w:rPr>
              <w:t>6</w:t>
            </w:r>
            <w:r w:rsidR="00794356">
              <w:rPr>
                <w:noProof/>
                <w:webHidden/>
              </w:rPr>
              <w:fldChar w:fldCharType="end"/>
            </w:r>
          </w:hyperlink>
        </w:p>
        <w:p w14:paraId="1BC5457E" w14:textId="5503E81B" w:rsidR="00794356" w:rsidRDefault="00A56867">
          <w:pPr>
            <w:pStyle w:val="TOC2"/>
            <w:tabs>
              <w:tab w:val="left" w:pos="880"/>
              <w:tab w:val="right" w:leader="dot" w:pos="9622"/>
            </w:tabs>
            <w:rPr>
              <w:rFonts w:eastAsiaTheme="minorEastAsia" w:cstheme="minorBidi"/>
              <w:b w:val="0"/>
              <w:bCs w:val="0"/>
              <w:noProof/>
              <w:sz w:val="22"/>
              <w:lang w:val="en-AU" w:eastAsia="en-AU"/>
            </w:rPr>
          </w:pPr>
          <w:hyperlink w:anchor="_Toc61436889" w:history="1">
            <w:r w:rsidR="00794356" w:rsidRPr="00BB7EE2">
              <w:rPr>
                <w:rStyle w:val="Hyperlink"/>
                <w:noProof/>
                <w:lang w:val="en-AU"/>
              </w:rPr>
              <w:t>4.1</w:t>
            </w:r>
            <w:r w:rsidR="00794356">
              <w:rPr>
                <w:rFonts w:eastAsiaTheme="minorEastAsia" w:cstheme="minorBidi"/>
                <w:b w:val="0"/>
                <w:bCs w:val="0"/>
                <w:noProof/>
                <w:sz w:val="22"/>
                <w:lang w:val="en-AU" w:eastAsia="en-AU"/>
              </w:rPr>
              <w:tab/>
            </w:r>
            <w:r w:rsidR="00794356" w:rsidRPr="00BB7EE2">
              <w:rPr>
                <w:rStyle w:val="Hyperlink"/>
                <w:noProof/>
                <w:lang w:val="en-AU"/>
              </w:rPr>
              <w:t>Accountable management</w:t>
            </w:r>
            <w:r w:rsidR="00794356">
              <w:rPr>
                <w:noProof/>
                <w:webHidden/>
              </w:rPr>
              <w:tab/>
            </w:r>
            <w:r w:rsidR="00794356">
              <w:rPr>
                <w:noProof/>
                <w:webHidden/>
              </w:rPr>
              <w:fldChar w:fldCharType="begin"/>
            </w:r>
            <w:r w:rsidR="00794356">
              <w:rPr>
                <w:noProof/>
                <w:webHidden/>
              </w:rPr>
              <w:instrText xml:space="preserve"> PAGEREF _Toc61436889 \h </w:instrText>
            </w:r>
            <w:r w:rsidR="00794356">
              <w:rPr>
                <w:noProof/>
                <w:webHidden/>
              </w:rPr>
            </w:r>
            <w:r w:rsidR="00794356">
              <w:rPr>
                <w:noProof/>
                <w:webHidden/>
              </w:rPr>
              <w:fldChar w:fldCharType="separate"/>
            </w:r>
            <w:r w:rsidR="00794356">
              <w:rPr>
                <w:noProof/>
                <w:webHidden/>
              </w:rPr>
              <w:t>6</w:t>
            </w:r>
            <w:r w:rsidR="00794356">
              <w:rPr>
                <w:noProof/>
                <w:webHidden/>
              </w:rPr>
              <w:fldChar w:fldCharType="end"/>
            </w:r>
          </w:hyperlink>
        </w:p>
        <w:p w14:paraId="7A07A127" w14:textId="2C35AFC3" w:rsidR="00794356" w:rsidRDefault="00A56867">
          <w:pPr>
            <w:pStyle w:val="TOC2"/>
            <w:tabs>
              <w:tab w:val="left" w:pos="880"/>
              <w:tab w:val="right" w:leader="dot" w:pos="9622"/>
            </w:tabs>
            <w:rPr>
              <w:rFonts w:eastAsiaTheme="minorEastAsia" w:cstheme="minorBidi"/>
              <w:b w:val="0"/>
              <w:bCs w:val="0"/>
              <w:noProof/>
              <w:sz w:val="22"/>
              <w:lang w:val="en-AU" w:eastAsia="en-AU"/>
            </w:rPr>
          </w:pPr>
          <w:hyperlink w:anchor="_Toc61436890" w:history="1">
            <w:r w:rsidR="00794356" w:rsidRPr="00BB7EE2">
              <w:rPr>
                <w:rStyle w:val="Hyperlink"/>
                <w:noProof/>
              </w:rPr>
              <w:t xml:space="preserve">4.2 </w:t>
            </w:r>
            <w:r w:rsidR="00794356">
              <w:rPr>
                <w:rFonts w:eastAsiaTheme="minorEastAsia" w:cstheme="minorBidi"/>
                <w:b w:val="0"/>
                <w:bCs w:val="0"/>
                <w:noProof/>
                <w:sz w:val="22"/>
                <w:lang w:val="en-AU" w:eastAsia="en-AU"/>
              </w:rPr>
              <w:tab/>
            </w:r>
            <w:r w:rsidR="00794356" w:rsidRPr="00BB7EE2">
              <w:rPr>
                <w:rStyle w:val="Hyperlink"/>
                <w:noProof/>
              </w:rPr>
              <w:t>Ethical decision making</w:t>
            </w:r>
            <w:r w:rsidR="00794356">
              <w:rPr>
                <w:noProof/>
                <w:webHidden/>
              </w:rPr>
              <w:tab/>
            </w:r>
            <w:r w:rsidR="00794356">
              <w:rPr>
                <w:noProof/>
                <w:webHidden/>
              </w:rPr>
              <w:fldChar w:fldCharType="begin"/>
            </w:r>
            <w:r w:rsidR="00794356">
              <w:rPr>
                <w:noProof/>
                <w:webHidden/>
              </w:rPr>
              <w:instrText xml:space="preserve"> PAGEREF _Toc61436890 \h </w:instrText>
            </w:r>
            <w:r w:rsidR="00794356">
              <w:rPr>
                <w:noProof/>
                <w:webHidden/>
              </w:rPr>
            </w:r>
            <w:r w:rsidR="00794356">
              <w:rPr>
                <w:noProof/>
                <w:webHidden/>
              </w:rPr>
              <w:fldChar w:fldCharType="separate"/>
            </w:r>
            <w:r w:rsidR="00794356">
              <w:rPr>
                <w:noProof/>
                <w:webHidden/>
              </w:rPr>
              <w:t>8</w:t>
            </w:r>
            <w:r w:rsidR="00794356">
              <w:rPr>
                <w:noProof/>
                <w:webHidden/>
              </w:rPr>
              <w:fldChar w:fldCharType="end"/>
            </w:r>
          </w:hyperlink>
        </w:p>
        <w:p w14:paraId="11BE3FB8" w14:textId="213E3858" w:rsidR="00794356" w:rsidRDefault="00A56867">
          <w:pPr>
            <w:pStyle w:val="TOC2"/>
            <w:tabs>
              <w:tab w:val="left" w:pos="880"/>
              <w:tab w:val="right" w:leader="dot" w:pos="9622"/>
            </w:tabs>
            <w:rPr>
              <w:rFonts w:eastAsiaTheme="minorEastAsia" w:cstheme="minorBidi"/>
              <w:b w:val="0"/>
              <w:bCs w:val="0"/>
              <w:noProof/>
              <w:sz w:val="22"/>
              <w:lang w:val="en-AU" w:eastAsia="en-AU"/>
            </w:rPr>
          </w:pPr>
          <w:hyperlink w:anchor="_Toc61436891" w:history="1">
            <w:r w:rsidR="00794356" w:rsidRPr="00BB7EE2">
              <w:rPr>
                <w:rStyle w:val="Hyperlink"/>
                <w:noProof/>
              </w:rPr>
              <w:t>4.3</w:t>
            </w:r>
            <w:r w:rsidR="00794356">
              <w:rPr>
                <w:rFonts w:eastAsiaTheme="minorEastAsia" w:cstheme="minorBidi"/>
                <w:b w:val="0"/>
                <w:bCs w:val="0"/>
                <w:noProof/>
                <w:sz w:val="22"/>
                <w:lang w:val="en-AU" w:eastAsia="en-AU"/>
              </w:rPr>
              <w:tab/>
            </w:r>
            <w:r w:rsidR="00794356" w:rsidRPr="00BB7EE2">
              <w:rPr>
                <w:rStyle w:val="Hyperlink"/>
                <w:noProof/>
              </w:rPr>
              <w:t>Productive stakeholder management</w:t>
            </w:r>
            <w:r w:rsidR="00794356">
              <w:rPr>
                <w:noProof/>
                <w:webHidden/>
              </w:rPr>
              <w:tab/>
            </w:r>
            <w:r w:rsidR="00794356">
              <w:rPr>
                <w:noProof/>
                <w:webHidden/>
              </w:rPr>
              <w:fldChar w:fldCharType="begin"/>
            </w:r>
            <w:r w:rsidR="00794356">
              <w:rPr>
                <w:noProof/>
                <w:webHidden/>
              </w:rPr>
              <w:instrText xml:space="preserve"> PAGEREF _Toc61436891 \h </w:instrText>
            </w:r>
            <w:r w:rsidR="00794356">
              <w:rPr>
                <w:noProof/>
                <w:webHidden/>
              </w:rPr>
            </w:r>
            <w:r w:rsidR="00794356">
              <w:rPr>
                <w:noProof/>
                <w:webHidden/>
              </w:rPr>
              <w:fldChar w:fldCharType="separate"/>
            </w:r>
            <w:r w:rsidR="00794356">
              <w:rPr>
                <w:noProof/>
                <w:webHidden/>
              </w:rPr>
              <w:t>8</w:t>
            </w:r>
            <w:r w:rsidR="00794356">
              <w:rPr>
                <w:noProof/>
                <w:webHidden/>
              </w:rPr>
              <w:fldChar w:fldCharType="end"/>
            </w:r>
          </w:hyperlink>
        </w:p>
        <w:p w14:paraId="4A9F34B5" w14:textId="1C947426" w:rsidR="00794356" w:rsidRDefault="00A56867">
          <w:pPr>
            <w:pStyle w:val="TOC2"/>
            <w:tabs>
              <w:tab w:val="left" w:pos="880"/>
              <w:tab w:val="right" w:leader="dot" w:pos="9622"/>
            </w:tabs>
            <w:rPr>
              <w:rFonts w:eastAsiaTheme="minorEastAsia" w:cstheme="minorBidi"/>
              <w:b w:val="0"/>
              <w:bCs w:val="0"/>
              <w:noProof/>
              <w:sz w:val="22"/>
              <w:lang w:val="en-AU" w:eastAsia="en-AU"/>
            </w:rPr>
          </w:pPr>
          <w:hyperlink w:anchor="_Toc61436892" w:history="1">
            <w:r w:rsidR="00794356" w:rsidRPr="00BB7EE2">
              <w:rPr>
                <w:rStyle w:val="Hyperlink"/>
                <w:noProof/>
                <w:lang w:val="en-AU"/>
              </w:rPr>
              <w:t>4.4</w:t>
            </w:r>
            <w:r w:rsidR="00794356">
              <w:rPr>
                <w:rFonts w:eastAsiaTheme="minorEastAsia" w:cstheme="minorBidi"/>
                <w:b w:val="0"/>
                <w:bCs w:val="0"/>
                <w:noProof/>
                <w:sz w:val="22"/>
                <w:lang w:val="en-AU" w:eastAsia="en-AU"/>
              </w:rPr>
              <w:tab/>
            </w:r>
            <w:r w:rsidR="00794356" w:rsidRPr="00BB7EE2">
              <w:rPr>
                <w:rStyle w:val="Hyperlink"/>
                <w:noProof/>
                <w:lang w:val="en-AU"/>
              </w:rPr>
              <w:t>Proficient planning, delivery and robust performance management</w:t>
            </w:r>
            <w:r w:rsidR="00794356">
              <w:rPr>
                <w:noProof/>
                <w:webHidden/>
              </w:rPr>
              <w:tab/>
            </w:r>
            <w:r w:rsidR="00794356">
              <w:rPr>
                <w:noProof/>
                <w:webHidden/>
              </w:rPr>
              <w:fldChar w:fldCharType="begin"/>
            </w:r>
            <w:r w:rsidR="00794356">
              <w:rPr>
                <w:noProof/>
                <w:webHidden/>
              </w:rPr>
              <w:instrText xml:space="preserve"> PAGEREF _Toc61436892 \h </w:instrText>
            </w:r>
            <w:r w:rsidR="00794356">
              <w:rPr>
                <w:noProof/>
                <w:webHidden/>
              </w:rPr>
            </w:r>
            <w:r w:rsidR="00794356">
              <w:rPr>
                <w:noProof/>
                <w:webHidden/>
              </w:rPr>
              <w:fldChar w:fldCharType="separate"/>
            </w:r>
            <w:r w:rsidR="00794356">
              <w:rPr>
                <w:noProof/>
                <w:webHidden/>
              </w:rPr>
              <w:t>9</w:t>
            </w:r>
            <w:r w:rsidR="00794356">
              <w:rPr>
                <w:noProof/>
                <w:webHidden/>
              </w:rPr>
              <w:fldChar w:fldCharType="end"/>
            </w:r>
          </w:hyperlink>
        </w:p>
        <w:p w14:paraId="58B5ECCD" w14:textId="442507BD" w:rsidR="00794356" w:rsidRDefault="00A56867">
          <w:pPr>
            <w:pStyle w:val="TOC2"/>
            <w:tabs>
              <w:tab w:val="left" w:pos="880"/>
              <w:tab w:val="right" w:leader="dot" w:pos="9622"/>
            </w:tabs>
            <w:rPr>
              <w:rFonts w:eastAsiaTheme="minorEastAsia" w:cstheme="minorBidi"/>
              <w:b w:val="0"/>
              <w:bCs w:val="0"/>
              <w:noProof/>
              <w:sz w:val="22"/>
              <w:lang w:val="en-AU" w:eastAsia="en-AU"/>
            </w:rPr>
          </w:pPr>
          <w:hyperlink w:anchor="_Toc61436893" w:history="1">
            <w:r w:rsidR="00794356" w:rsidRPr="00BB7EE2">
              <w:rPr>
                <w:rStyle w:val="Hyperlink"/>
                <w:noProof/>
                <w:lang w:val="en-AU"/>
              </w:rPr>
              <w:t>4.5</w:t>
            </w:r>
            <w:r w:rsidR="00794356">
              <w:rPr>
                <w:rFonts w:eastAsiaTheme="minorEastAsia" w:cstheme="minorBidi"/>
                <w:b w:val="0"/>
                <w:bCs w:val="0"/>
                <w:noProof/>
                <w:sz w:val="22"/>
                <w:lang w:val="en-AU" w:eastAsia="en-AU"/>
              </w:rPr>
              <w:tab/>
            </w:r>
            <w:r w:rsidR="00794356" w:rsidRPr="00BB7EE2">
              <w:rPr>
                <w:rStyle w:val="Hyperlink"/>
                <w:noProof/>
                <w:lang w:val="en-AU"/>
              </w:rPr>
              <w:t>Effective management of risk and opportunity</w:t>
            </w:r>
            <w:r w:rsidR="00794356">
              <w:rPr>
                <w:noProof/>
                <w:webHidden/>
              </w:rPr>
              <w:tab/>
            </w:r>
            <w:r w:rsidR="00794356">
              <w:rPr>
                <w:noProof/>
                <w:webHidden/>
              </w:rPr>
              <w:fldChar w:fldCharType="begin"/>
            </w:r>
            <w:r w:rsidR="00794356">
              <w:rPr>
                <w:noProof/>
                <w:webHidden/>
              </w:rPr>
              <w:instrText xml:space="preserve"> PAGEREF _Toc61436893 \h </w:instrText>
            </w:r>
            <w:r w:rsidR="00794356">
              <w:rPr>
                <w:noProof/>
                <w:webHidden/>
              </w:rPr>
            </w:r>
            <w:r w:rsidR="00794356">
              <w:rPr>
                <w:noProof/>
                <w:webHidden/>
              </w:rPr>
              <w:fldChar w:fldCharType="separate"/>
            </w:r>
            <w:r w:rsidR="00794356">
              <w:rPr>
                <w:noProof/>
                <w:webHidden/>
              </w:rPr>
              <w:t>9</w:t>
            </w:r>
            <w:r w:rsidR="00794356">
              <w:rPr>
                <w:noProof/>
                <w:webHidden/>
              </w:rPr>
              <w:fldChar w:fldCharType="end"/>
            </w:r>
          </w:hyperlink>
        </w:p>
        <w:p w14:paraId="564A67A3" w14:textId="26B4F158" w:rsidR="00794356" w:rsidRDefault="00A56867">
          <w:pPr>
            <w:pStyle w:val="TOC2"/>
            <w:tabs>
              <w:tab w:val="left" w:pos="880"/>
              <w:tab w:val="right" w:leader="dot" w:pos="9622"/>
            </w:tabs>
            <w:rPr>
              <w:rFonts w:eastAsiaTheme="minorEastAsia" w:cstheme="minorBidi"/>
              <w:b w:val="0"/>
              <w:bCs w:val="0"/>
              <w:noProof/>
              <w:sz w:val="22"/>
              <w:lang w:val="en-AU" w:eastAsia="en-AU"/>
            </w:rPr>
          </w:pPr>
          <w:hyperlink w:anchor="_Toc61436894" w:history="1">
            <w:r w:rsidR="00794356" w:rsidRPr="00BB7EE2">
              <w:rPr>
                <w:rStyle w:val="Hyperlink"/>
                <w:noProof/>
                <w:lang w:val="en-AU"/>
              </w:rPr>
              <w:t>4.6</w:t>
            </w:r>
            <w:r w:rsidR="00794356">
              <w:rPr>
                <w:rFonts w:eastAsiaTheme="minorEastAsia" w:cstheme="minorBidi"/>
                <w:b w:val="0"/>
                <w:bCs w:val="0"/>
                <w:noProof/>
                <w:sz w:val="22"/>
                <w:lang w:val="en-AU" w:eastAsia="en-AU"/>
              </w:rPr>
              <w:tab/>
            </w:r>
            <w:r w:rsidR="00794356" w:rsidRPr="00BB7EE2">
              <w:rPr>
                <w:rStyle w:val="Hyperlink"/>
                <w:noProof/>
                <w:lang w:val="en-AU"/>
              </w:rPr>
              <w:t>Embedded compliance and internal controls</w:t>
            </w:r>
            <w:r w:rsidR="00794356">
              <w:rPr>
                <w:noProof/>
                <w:webHidden/>
              </w:rPr>
              <w:tab/>
            </w:r>
            <w:r w:rsidR="00794356">
              <w:rPr>
                <w:noProof/>
                <w:webHidden/>
              </w:rPr>
              <w:fldChar w:fldCharType="begin"/>
            </w:r>
            <w:r w:rsidR="00794356">
              <w:rPr>
                <w:noProof/>
                <w:webHidden/>
              </w:rPr>
              <w:instrText xml:space="preserve"> PAGEREF _Toc61436894 \h </w:instrText>
            </w:r>
            <w:r w:rsidR="00794356">
              <w:rPr>
                <w:noProof/>
                <w:webHidden/>
              </w:rPr>
            </w:r>
            <w:r w:rsidR="00794356">
              <w:rPr>
                <w:noProof/>
                <w:webHidden/>
              </w:rPr>
              <w:fldChar w:fldCharType="separate"/>
            </w:r>
            <w:r w:rsidR="00794356">
              <w:rPr>
                <w:noProof/>
                <w:webHidden/>
              </w:rPr>
              <w:t>10</w:t>
            </w:r>
            <w:r w:rsidR="00794356">
              <w:rPr>
                <w:noProof/>
                <w:webHidden/>
              </w:rPr>
              <w:fldChar w:fldCharType="end"/>
            </w:r>
          </w:hyperlink>
        </w:p>
        <w:p w14:paraId="7F76B905" w14:textId="18F2A083" w:rsidR="00794356" w:rsidRDefault="00A56867">
          <w:pPr>
            <w:pStyle w:val="TOC2"/>
            <w:tabs>
              <w:tab w:val="left" w:pos="880"/>
              <w:tab w:val="right" w:leader="dot" w:pos="9622"/>
            </w:tabs>
            <w:rPr>
              <w:rFonts w:eastAsiaTheme="minorEastAsia" w:cstheme="minorBidi"/>
              <w:b w:val="0"/>
              <w:bCs w:val="0"/>
              <w:noProof/>
              <w:sz w:val="22"/>
              <w:lang w:val="en-AU" w:eastAsia="en-AU"/>
            </w:rPr>
          </w:pPr>
          <w:hyperlink w:anchor="_Toc61436895" w:history="1">
            <w:r w:rsidR="00794356" w:rsidRPr="00BB7EE2">
              <w:rPr>
                <w:rStyle w:val="Hyperlink"/>
                <w:noProof/>
                <w:lang w:val="en-AU"/>
              </w:rPr>
              <w:t>4.7</w:t>
            </w:r>
            <w:r w:rsidR="00794356">
              <w:rPr>
                <w:rFonts w:eastAsiaTheme="minorEastAsia" w:cstheme="minorBidi"/>
                <w:b w:val="0"/>
                <w:bCs w:val="0"/>
                <w:noProof/>
                <w:sz w:val="22"/>
                <w:lang w:val="en-AU" w:eastAsia="en-AU"/>
              </w:rPr>
              <w:tab/>
            </w:r>
            <w:r w:rsidR="00794356" w:rsidRPr="00BB7EE2">
              <w:rPr>
                <w:rStyle w:val="Hyperlink"/>
                <w:noProof/>
                <w:lang w:val="en-AU"/>
              </w:rPr>
              <w:t>Responsible information management</w:t>
            </w:r>
            <w:r w:rsidR="00794356">
              <w:rPr>
                <w:noProof/>
                <w:webHidden/>
              </w:rPr>
              <w:tab/>
            </w:r>
            <w:r w:rsidR="00794356">
              <w:rPr>
                <w:noProof/>
                <w:webHidden/>
              </w:rPr>
              <w:fldChar w:fldCharType="begin"/>
            </w:r>
            <w:r w:rsidR="00794356">
              <w:rPr>
                <w:noProof/>
                <w:webHidden/>
              </w:rPr>
              <w:instrText xml:space="preserve"> PAGEREF _Toc61436895 \h </w:instrText>
            </w:r>
            <w:r w:rsidR="00794356">
              <w:rPr>
                <w:noProof/>
                <w:webHidden/>
              </w:rPr>
            </w:r>
            <w:r w:rsidR="00794356">
              <w:rPr>
                <w:noProof/>
                <w:webHidden/>
              </w:rPr>
              <w:fldChar w:fldCharType="separate"/>
            </w:r>
            <w:r w:rsidR="00794356">
              <w:rPr>
                <w:noProof/>
                <w:webHidden/>
              </w:rPr>
              <w:t>10</w:t>
            </w:r>
            <w:r w:rsidR="00794356">
              <w:rPr>
                <w:noProof/>
                <w:webHidden/>
              </w:rPr>
              <w:fldChar w:fldCharType="end"/>
            </w:r>
          </w:hyperlink>
        </w:p>
        <w:p w14:paraId="08A4E8BC" w14:textId="5CD1B365" w:rsidR="00794356" w:rsidRDefault="00A56867">
          <w:pPr>
            <w:pStyle w:val="TOC1"/>
            <w:tabs>
              <w:tab w:val="right" w:leader="dot" w:pos="9622"/>
            </w:tabs>
            <w:rPr>
              <w:rFonts w:eastAsiaTheme="minorEastAsia" w:cstheme="minorBidi"/>
              <w:b w:val="0"/>
              <w:bCs w:val="0"/>
              <w:iCs w:val="0"/>
              <w:noProof/>
              <w:sz w:val="22"/>
              <w:szCs w:val="22"/>
              <w:lang w:val="en-AU" w:eastAsia="en-AU"/>
            </w:rPr>
          </w:pPr>
          <w:hyperlink w:anchor="_Toc61436896" w:history="1">
            <w:r w:rsidR="00794356" w:rsidRPr="00BB7EE2">
              <w:rPr>
                <w:rStyle w:val="Hyperlink"/>
                <w:noProof/>
              </w:rPr>
              <w:t>Appendix 1 VCGLR Governance Control System</w:t>
            </w:r>
            <w:r w:rsidR="00794356">
              <w:rPr>
                <w:noProof/>
                <w:webHidden/>
              </w:rPr>
              <w:tab/>
            </w:r>
            <w:r w:rsidR="00794356">
              <w:rPr>
                <w:noProof/>
                <w:webHidden/>
              </w:rPr>
              <w:fldChar w:fldCharType="begin"/>
            </w:r>
            <w:r w:rsidR="00794356">
              <w:rPr>
                <w:noProof/>
                <w:webHidden/>
              </w:rPr>
              <w:instrText xml:space="preserve"> PAGEREF _Toc61436896 \h </w:instrText>
            </w:r>
            <w:r w:rsidR="00794356">
              <w:rPr>
                <w:noProof/>
                <w:webHidden/>
              </w:rPr>
            </w:r>
            <w:r w:rsidR="00794356">
              <w:rPr>
                <w:noProof/>
                <w:webHidden/>
              </w:rPr>
              <w:fldChar w:fldCharType="separate"/>
            </w:r>
            <w:r w:rsidR="00794356">
              <w:rPr>
                <w:noProof/>
                <w:webHidden/>
              </w:rPr>
              <w:t>12</w:t>
            </w:r>
            <w:r w:rsidR="00794356">
              <w:rPr>
                <w:noProof/>
                <w:webHidden/>
              </w:rPr>
              <w:fldChar w:fldCharType="end"/>
            </w:r>
          </w:hyperlink>
        </w:p>
        <w:p w14:paraId="4A818D8F" w14:textId="6AED1312" w:rsidR="00C222E9" w:rsidRDefault="00C222E9" w:rsidP="00C222E9">
          <w:r>
            <w:rPr>
              <w:b/>
              <w:bCs/>
              <w:noProof/>
            </w:rPr>
            <w:fldChar w:fldCharType="end"/>
          </w:r>
        </w:p>
      </w:sdtContent>
    </w:sdt>
    <w:p w14:paraId="67207BEA" w14:textId="77777777" w:rsidR="00C222E9" w:rsidRPr="005C1D6D" w:rsidRDefault="00C222E9" w:rsidP="00C222E9">
      <w:pPr>
        <w:rPr>
          <w:lang w:val="en-AU"/>
        </w:rPr>
      </w:pPr>
    </w:p>
    <w:p w14:paraId="643EBF75" w14:textId="77777777" w:rsidR="00C222E9" w:rsidRDefault="00C222E9" w:rsidP="00C222E9">
      <w:pPr>
        <w:spacing w:after="0"/>
        <w:rPr>
          <w:rFonts w:asciiTheme="majorHAnsi" w:eastAsiaTheme="majorEastAsia" w:hAnsiTheme="majorHAnsi" w:cs="Times New Roman (Headings CS)"/>
          <w:b/>
          <w:color w:val="2459A9" w:themeColor="text1"/>
          <w:sz w:val="44"/>
          <w:szCs w:val="32"/>
          <w:lang w:val="en-AU"/>
        </w:rPr>
      </w:pPr>
      <w:r>
        <w:rPr>
          <w:lang w:val="en-AU"/>
        </w:rPr>
        <w:br w:type="page"/>
      </w:r>
    </w:p>
    <w:p w14:paraId="5D374B80" w14:textId="77777777" w:rsidR="00C222E9" w:rsidRDefault="00C222E9">
      <w:pPr>
        <w:spacing w:after="0"/>
        <w:sectPr w:rsidR="00C222E9" w:rsidSect="00C222E9">
          <w:headerReference w:type="default" r:id="rId14"/>
          <w:footerReference w:type="default" r:id="rId15"/>
          <w:pgSz w:w="11900" w:h="16840"/>
          <w:pgMar w:top="1134" w:right="1134" w:bottom="1701" w:left="1134" w:header="709" w:footer="709" w:gutter="0"/>
          <w:cols w:space="708"/>
          <w:docGrid w:linePitch="360"/>
        </w:sectPr>
      </w:pPr>
    </w:p>
    <w:p w14:paraId="66FAC131" w14:textId="55774FA5" w:rsidR="00297164" w:rsidRDefault="00297164">
      <w:pPr>
        <w:spacing w:after="0"/>
        <w:rPr>
          <w:rFonts w:asciiTheme="majorHAnsi" w:eastAsiaTheme="majorEastAsia" w:hAnsiTheme="majorHAnsi" w:cstheme="majorBidi"/>
          <w:b/>
          <w:bCs/>
          <w:color w:val="2D8236" w:themeColor="accent1" w:themeShade="BF"/>
          <w:sz w:val="28"/>
          <w:szCs w:val="28"/>
          <w:lang w:val="en-US"/>
        </w:rPr>
      </w:pPr>
    </w:p>
    <w:p w14:paraId="40029E1E" w14:textId="77777777" w:rsidR="00F35280" w:rsidRDefault="00034603" w:rsidP="00034603">
      <w:pPr>
        <w:pStyle w:val="Heading1"/>
        <w:numPr>
          <w:ilvl w:val="0"/>
          <w:numId w:val="20"/>
        </w:numPr>
        <w:rPr>
          <w:lang w:val="en-AU"/>
        </w:rPr>
      </w:pPr>
      <w:bookmarkStart w:id="1" w:name="_Toc61436882"/>
      <w:r>
        <w:rPr>
          <w:lang w:val="en-AU"/>
        </w:rPr>
        <w:t>Introduction</w:t>
      </w:r>
      <w:bookmarkEnd w:id="1"/>
    </w:p>
    <w:p w14:paraId="3E7080F5" w14:textId="782795E4" w:rsidR="00624A55" w:rsidRPr="00F35280" w:rsidRDefault="00F35280" w:rsidP="00F35280">
      <w:pPr>
        <w:pStyle w:val="Heading1"/>
        <w:numPr>
          <w:ilvl w:val="1"/>
          <w:numId w:val="20"/>
        </w:numPr>
        <w:rPr>
          <w:color w:val="262B67" w:themeColor="text2"/>
          <w:sz w:val="36"/>
          <w:szCs w:val="26"/>
          <w:lang w:val="en-AU"/>
        </w:rPr>
      </w:pPr>
      <w:bookmarkStart w:id="2" w:name="_Toc61436883"/>
      <w:r>
        <w:rPr>
          <w:color w:val="262B67" w:themeColor="text2"/>
          <w:sz w:val="36"/>
          <w:szCs w:val="26"/>
          <w:lang w:val="en-AU"/>
        </w:rPr>
        <w:t>Background</w:t>
      </w:r>
      <w:bookmarkEnd w:id="2"/>
    </w:p>
    <w:p w14:paraId="35F16C9E" w14:textId="7C51C16A" w:rsidR="00034603" w:rsidRDefault="00034603" w:rsidP="00034603">
      <w:pPr>
        <w:pStyle w:val="BodyText"/>
        <w:ind w:left="0"/>
        <w:rPr>
          <w:rFonts w:asciiTheme="minorHAnsi" w:eastAsiaTheme="minorHAnsi" w:hAnsiTheme="minorHAnsi" w:cstheme="minorBidi"/>
          <w:sz w:val="24"/>
        </w:rPr>
      </w:pPr>
      <w:r w:rsidRPr="00034603">
        <w:rPr>
          <w:rFonts w:asciiTheme="minorHAnsi" w:eastAsiaTheme="minorHAnsi" w:hAnsiTheme="minorHAnsi" w:cstheme="minorBidi"/>
          <w:sz w:val="24"/>
        </w:rPr>
        <w:t>The Victorian Commission for Gambling and Liquor Regulation (VCGLR) is the independent statutory authority that regulates Victoria’s gambling and liquor industries to ensure their integrity and to minimise harm. The VCGLR is responsible for liquor and gambling licensing and undertakes compliance activities to prevent and detect breaches. The VCGLR also informs and educates industry and the public about regulat</w:t>
      </w:r>
      <w:r>
        <w:rPr>
          <w:rFonts w:asciiTheme="minorHAnsi" w:eastAsiaTheme="minorHAnsi" w:hAnsiTheme="minorHAnsi" w:cstheme="minorBidi"/>
          <w:sz w:val="24"/>
        </w:rPr>
        <w:t>ory practices and requirements.</w:t>
      </w:r>
    </w:p>
    <w:p w14:paraId="6775FFB5" w14:textId="520650A4" w:rsidR="00034603" w:rsidRPr="00F35280" w:rsidRDefault="00F35280" w:rsidP="00F35280">
      <w:pPr>
        <w:pStyle w:val="Heading1"/>
        <w:numPr>
          <w:ilvl w:val="1"/>
          <w:numId w:val="20"/>
        </w:numPr>
        <w:rPr>
          <w:color w:val="262B67" w:themeColor="text2"/>
          <w:sz w:val="36"/>
          <w:szCs w:val="26"/>
          <w:lang w:val="en-AU"/>
        </w:rPr>
      </w:pPr>
      <w:bookmarkStart w:id="3" w:name="_Toc61436884"/>
      <w:r w:rsidRPr="00F35280">
        <w:rPr>
          <w:color w:val="262B67" w:themeColor="text2"/>
          <w:sz w:val="36"/>
          <w:szCs w:val="26"/>
          <w:lang w:val="en-AU"/>
        </w:rPr>
        <w:t>Purpose</w:t>
      </w:r>
      <w:bookmarkEnd w:id="3"/>
    </w:p>
    <w:p w14:paraId="68A6A4B5" w14:textId="77777777" w:rsidR="00F35280" w:rsidRDefault="00F35280" w:rsidP="00F35280">
      <w:pPr>
        <w:pStyle w:val="BodyText"/>
        <w:ind w:left="0"/>
        <w:rPr>
          <w:rFonts w:asciiTheme="minorHAnsi" w:eastAsiaTheme="minorHAnsi" w:hAnsiTheme="minorHAnsi" w:cstheme="minorBidi"/>
          <w:sz w:val="24"/>
        </w:rPr>
      </w:pPr>
      <w:r w:rsidRPr="00F35280">
        <w:rPr>
          <w:rFonts w:asciiTheme="minorHAnsi" w:eastAsiaTheme="minorHAnsi" w:hAnsiTheme="minorHAnsi" w:cstheme="minorBidi"/>
          <w:sz w:val="24"/>
        </w:rPr>
        <w:t xml:space="preserve">The VCGLR Corporate Governance Framework [the Framework] is designed to provide a sound basis for decision making, to define mechanisms for accountability and to support the achievement of organisational goals. </w:t>
      </w:r>
    </w:p>
    <w:p w14:paraId="0D66850D" w14:textId="77777777" w:rsidR="00F35280" w:rsidRDefault="00F35280">
      <w:pPr>
        <w:spacing w:after="0"/>
        <w:rPr>
          <w:lang w:val="en-AU"/>
        </w:rPr>
      </w:pPr>
      <w:r>
        <w:br w:type="page"/>
      </w:r>
    </w:p>
    <w:p w14:paraId="5A5BAC08" w14:textId="452D639C" w:rsidR="00F35280" w:rsidRPr="00F35280" w:rsidRDefault="007168C6" w:rsidP="00F35280">
      <w:pPr>
        <w:pStyle w:val="Heading1"/>
        <w:numPr>
          <w:ilvl w:val="0"/>
          <w:numId w:val="20"/>
        </w:numPr>
        <w:rPr>
          <w:lang w:val="en-AU"/>
        </w:rPr>
      </w:pPr>
      <w:bookmarkStart w:id="4" w:name="_Toc61436885"/>
      <w:r>
        <w:rPr>
          <w:lang w:val="en-AU"/>
        </w:rPr>
        <w:lastRenderedPageBreak/>
        <w:t>Corporate governance o</w:t>
      </w:r>
      <w:r w:rsidR="00F35280" w:rsidRPr="00F35280">
        <w:rPr>
          <w:lang w:val="en-AU"/>
        </w:rPr>
        <w:t>verview</w:t>
      </w:r>
      <w:bookmarkEnd w:id="4"/>
    </w:p>
    <w:p w14:paraId="31700BF6" w14:textId="495E002B" w:rsidR="00F35280" w:rsidRDefault="00F35280" w:rsidP="00F35280">
      <w:pPr>
        <w:pStyle w:val="BodyText"/>
        <w:ind w:left="0"/>
        <w:rPr>
          <w:rFonts w:asciiTheme="minorHAnsi" w:eastAsiaTheme="minorHAnsi" w:hAnsiTheme="minorHAnsi" w:cstheme="minorBidi"/>
          <w:sz w:val="24"/>
        </w:rPr>
      </w:pPr>
      <w:r w:rsidRPr="00F35280">
        <w:rPr>
          <w:rFonts w:asciiTheme="minorHAnsi" w:eastAsiaTheme="minorHAnsi" w:hAnsiTheme="minorHAnsi" w:cstheme="minorBidi"/>
          <w:sz w:val="24"/>
        </w:rPr>
        <w:t xml:space="preserve">The VCGLR is managed in a transparent, accountable and responsible way through effective corporate governance which is defined as how the Commission manages the performance of its functions and operations. The following diagram shows how the Framework’s principles and practices enable the Commission to achieve good governance. </w:t>
      </w:r>
    </w:p>
    <w:p w14:paraId="50753459" w14:textId="21B5C304" w:rsidR="00F35280" w:rsidRPr="004E677B" w:rsidRDefault="004E677B" w:rsidP="004E677B">
      <w:pPr>
        <w:pStyle w:val="Caption"/>
        <w:rPr>
          <w:sz w:val="24"/>
          <w:szCs w:val="24"/>
        </w:rPr>
      </w:pPr>
      <w:r w:rsidRPr="004E677B">
        <w:rPr>
          <w:sz w:val="24"/>
          <w:szCs w:val="24"/>
        </w:rPr>
        <w:t xml:space="preserve">Figure </w:t>
      </w:r>
      <w:r w:rsidRPr="004E677B">
        <w:rPr>
          <w:sz w:val="24"/>
          <w:szCs w:val="24"/>
        </w:rPr>
        <w:fldChar w:fldCharType="begin"/>
      </w:r>
      <w:r w:rsidRPr="004E677B">
        <w:rPr>
          <w:sz w:val="24"/>
          <w:szCs w:val="24"/>
        </w:rPr>
        <w:instrText xml:space="preserve"> SEQ Figure \* ARABIC </w:instrText>
      </w:r>
      <w:r w:rsidRPr="004E677B">
        <w:rPr>
          <w:sz w:val="24"/>
          <w:szCs w:val="24"/>
        </w:rPr>
        <w:fldChar w:fldCharType="separate"/>
      </w:r>
      <w:r w:rsidR="00794356">
        <w:rPr>
          <w:noProof/>
          <w:sz w:val="24"/>
          <w:szCs w:val="24"/>
        </w:rPr>
        <w:t>1</w:t>
      </w:r>
      <w:r w:rsidRPr="004E677B">
        <w:rPr>
          <w:sz w:val="24"/>
          <w:szCs w:val="24"/>
        </w:rPr>
        <w:fldChar w:fldCharType="end"/>
      </w:r>
      <w:r w:rsidRPr="004E677B">
        <w:rPr>
          <w:sz w:val="24"/>
          <w:szCs w:val="24"/>
        </w:rPr>
        <w:t xml:space="preserve"> </w:t>
      </w:r>
      <w:r w:rsidR="00AD3471">
        <w:rPr>
          <w:sz w:val="24"/>
          <w:szCs w:val="24"/>
        </w:rPr>
        <w:t xml:space="preserve">VCGLR Corporate </w:t>
      </w:r>
      <w:r>
        <w:rPr>
          <w:sz w:val="24"/>
          <w:szCs w:val="24"/>
        </w:rPr>
        <w:t>Governance Framework</w:t>
      </w:r>
      <w:r w:rsidR="00AD3471">
        <w:rPr>
          <w:sz w:val="24"/>
          <w:szCs w:val="24"/>
        </w:rPr>
        <w:t xml:space="preserve"> Overview</w:t>
      </w:r>
    </w:p>
    <w:p w14:paraId="480D13CB" w14:textId="68D9FFA7" w:rsidR="004E677B" w:rsidRDefault="00F35280">
      <w:pPr>
        <w:spacing w:after="0"/>
        <w:rPr>
          <w:lang w:val="en-AU"/>
        </w:rPr>
      </w:pPr>
      <w:r>
        <w:rPr>
          <w:noProof/>
        </w:rPr>
        <w:drawing>
          <wp:inline distT="0" distB="0" distL="0" distR="0" wp14:anchorId="38735E0D" wp14:editId="33B79ABD">
            <wp:extent cx="5067300" cy="6559195"/>
            <wp:effectExtent l="0" t="0" r="0" b="0"/>
            <wp:docPr id="2" name="Picture 2" descr="GoodGovernanc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oodGovernance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072657" cy="6566129"/>
                    </a:xfrm>
                    <a:prstGeom prst="rect">
                      <a:avLst/>
                    </a:prstGeom>
                    <a:noFill/>
                    <a:ln>
                      <a:noFill/>
                    </a:ln>
                  </pic:spPr>
                </pic:pic>
              </a:graphicData>
            </a:graphic>
          </wp:inline>
        </w:drawing>
      </w:r>
    </w:p>
    <w:p w14:paraId="0E319A37" w14:textId="77777777" w:rsidR="004E677B" w:rsidRDefault="004E677B">
      <w:pPr>
        <w:spacing w:after="0"/>
        <w:rPr>
          <w:lang w:val="en-AU"/>
        </w:rPr>
      </w:pPr>
      <w:r>
        <w:rPr>
          <w:lang w:val="en-AU"/>
        </w:rPr>
        <w:br w:type="page"/>
      </w:r>
    </w:p>
    <w:p w14:paraId="41DBBB48" w14:textId="7099CF92" w:rsidR="004E677B" w:rsidRDefault="004E677B" w:rsidP="004E677B">
      <w:pPr>
        <w:pStyle w:val="Heading1"/>
        <w:numPr>
          <w:ilvl w:val="0"/>
          <w:numId w:val="20"/>
        </w:numPr>
      </w:pPr>
      <w:bookmarkStart w:id="5" w:name="_Toc61436886"/>
      <w:r>
        <w:lastRenderedPageBreak/>
        <w:t>Corporate governance principles</w:t>
      </w:r>
      <w:bookmarkEnd w:id="5"/>
    </w:p>
    <w:p w14:paraId="51B8544E" w14:textId="585F9A0E" w:rsidR="004E677B" w:rsidRDefault="00F35280" w:rsidP="004E677B">
      <w:pPr>
        <w:spacing w:after="0"/>
      </w:pPr>
      <w:r>
        <w:t xml:space="preserve">The </w:t>
      </w:r>
      <w:r w:rsidRPr="00C35A1E">
        <w:rPr>
          <w:i/>
        </w:rPr>
        <w:t>Public Administration Act 2004</w:t>
      </w:r>
      <w:r w:rsidR="009A5F2B">
        <w:rPr>
          <w:i/>
        </w:rPr>
        <w:t xml:space="preserve"> </w:t>
      </w:r>
      <w:r>
        <w:t>and the</w:t>
      </w:r>
      <w:r w:rsidRPr="00831142">
        <w:t xml:space="preserve"> Code of Conduct for Victorian </w:t>
      </w:r>
      <w:proofErr w:type="gramStart"/>
      <w:r w:rsidRPr="00831142">
        <w:t>Public Sector</w:t>
      </w:r>
      <w:proofErr w:type="gramEnd"/>
      <w:r w:rsidRPr="00831142">
        <w:t xml:space="preserve"> </w:t>
      </w:r>
      <w:r w:rsidRPr="007C0C75">
        <w:t>Employees 2015 (VPS Code of Conduct</w:t>
      </w:r>
      <w:r>
        <w:t>) provide the basis for the corporate governance principles of the VCGLR. It is the responsibility of all VCGLR employees to ensure that their conduct demonstrates:</w:t>
      </w:r>
    </w:p>
    <w:p w14:paraId="26FCB97E" w14:textId="77777777" w:rsidR="004E677B" w:rsidRPr="004E677B" w:rsidRDefault="00F35280" w:rsidP="00877523">
      <w:pPr>
        <w:pStyle w:val="ListParagraph"/>
        <w:numPr>
          <w:ilvl w:val="0"/>
          <w:numId w:val="21"/>
        </w:numPr>
        <w:spacing w:after="60"/>
        <w:rPr>
          <w:lang w:val="en-AU"/>
        </w:rPr>
      </w:pPr>
      <w:r w:rsidRPr="004E677B">
        <w:rPr>
          <w:b/>
        </w:rPr>
        <w:t>responsiveness</w:t>
      </w:r>
      <w:r>
        <w:t xml:space="preserve"> by providing frank, impartial and timely advice to the Government and high-quality services to the Victorian community and identifying and promoting best practice</w:t>
      </w:r>
    </w:p>
    <w:p w14:paraId="62D804C0" w14:textId="77777777" w:rsidR="004E677B" w:rsidRPr="004E677B" w:rsidRDefault="00F35280" w:rsidP="00877523">
      <w:pPr>
        <w:pStyle w:val="ListParagraph"/>
        <w:numPr>
          <w:ilvl w:val="0"/>
          <w:numId w:val="21"/>
        </w:numPr>
        <w:spacing w:after="60"/>
        <w:rPr>
          <w:lang w:val="en-AU"/>
        </w:rPr>
      </w:pPr>
      <w:r w:rsidRPr="004E677B">
        <w:rPr>
          <w:b/>
        </w:rPr>
        <w:t>integrity</w:t>
      </w:r>
      <w:r>
        <w:t xml:space="preserve"> by being honest, open and transparent in their dealings, using powers responsibly, reporting improper conduct, avoiding any real or apparent conflicts of interest and striving to earn and sustain public trust of</w:t>
      </w:r>
      <w:r w:rsidR="004E677B">
        <w:t xml:space="preserve"> a </w:t>
      </w:r>
      <w:proofErr w:type="gramStart"/>
      <w:r w:rsidR="004E677B">
        <w:t>high level</w:t>
      </w:r>
      <w:proofErr w:type="gramEnd"/>
      <w:r w:rsidR="004E677B">
        <w:t xml:space="preserve">              </w:t>
      </w:r>
    </w:p>
    <w:p w14:paraId="3588C6C4" w14:textId="77777777" w:rsidR="004E677B" w:rsidRPr="004E677B" w:rsidRDefault="00F35280" w:rsidP="00877523">
      <w:pPr>
        <w:pStyle w:val="ListParagraph"/>
        <w:numPr>
          <w:ilvl w:val="0"/>
          <w:numId w:val="21"/>
        </w:numPr>
        <w:spacing w:after="60"/>
        <w:rPr>
          <w:lang w:val="en-AU"/>
        </w:rPr>
      </w:pPr>
      <w:r w:rsidRPr="004E677B">
        <w:rPr>
          <w:b/>
        </w:rPr>
        <w:t>impartiality</w:t>
      </w:r>
      <w:r>
        <w:t xml:space="preserve"> by making decisions and providing advice on merit and without bias, caprice, favouritism or self-interest, acting fairly by objectively considering all relevant facts and fair criteria and implementing Government policies and programs equitably</w:t>
      </w:r>
    </w:p>
    <w:p w14:paraId="7BD940BF" w14:textId="77777777" w:rsidR="004E677B" w:rsidRPr="004E677B" w:rsidRDefault="00F35280" w:rsidP="004E677B">
      <w:pPr>
        <w:pStyle w:val="ListParagraph"/>
        <w:numPr>
          <w:ilvl w:val="0"/>
          <w:numId w:val="21"/>
        </w:numPr>
        <w:spacing w:after="0"/>
        <w:rPr>
          <w:lang w:val="en-AU"/>
        </w:rPr>
      </w:pPr>
      <w:r w:rsidRPr="004E677B">
        <w:rPr>
          <w:b/>
        </w:rPr>
        <w:t>accountability</w:t>
      </w:r>
      <w:r>
        <w:t xml:space="preserve"> by working to clear objectives in a transparent manner, accepting responsibility for their decisions and actions, seeking to achieve best use of resources and submitting themselves to appropriate scrutiny</w:t>
      </w:r>
    </w:p>
    <w:p w14:paraId="53FB24CF" w14:textId="77777777" w:rsidR="004E677B" w:rsidRPr="004E677B" w:rsidRDefault="00F35280" w:rsidP="004E677B">
      <w:pPr>
        <w:pStyle w:val="ListParagraph"/>
        <w:numPr>
          <w:ilvl w:val="0"/>
          <w:numId w:val="21"/>
        </w:numPr>
        <w:spacing w:after="0"/>
        <w:rPr>
          <w:lang w:val="en-AU"/>
        </w:rPr>
      </w:pPr>
      <w:r w:rsidRPr="004E677B">
        <w:rPr>
          <w:b/>
        </w:rPr>
        <w:t>respect</w:t>
      </w:r>
      <w:r>
        <w:t xml:space="preserve"> for colleagues, other public officials and members of the Victorian community by treating them fairly and objectively, ensuring freedom from discrimination, harassment and bullying and using their views to improve outcomes on an ongoing basis</w:t>
      </w:r>
    </w:p>
    <w:p w14:paraId="5CD8664C" w14:textId="77777777" w:rsidR="004E677B" w:rsidRPr="004E677B" w:rsidRDefault="00F35280" w:rsidP="004E677B">
      <w:pPr>
        <w:pStyle w:val="ListParagraph"/>
        <w:numPr>
          <w:ilvl w:val="0"/>
          <w:numId w:val="21"/>
        </w:numPr>
        <w:spacing w:after="0"/>
        <w:rPr>
          <w:lang w:val="en-AU"/>
        </w:rPr>
      </w:pPr>
      <w:r w:rsidRPr="004E677B">
        <w:rPr>
          <w:b/>
        </w:rPr>
        <w:t>leadership</w:t>
      </w:r>
      <w:r>
        <w:t xml:space="preserve"> by actively implementing, promoting and supporting these values</w:t>
      </w:r>
    </w:p>
    <w:p w14:paraId="0333C529" w14:textId="663E8B2C" w:rsidR="00F35280" w:rsidRPr="009052CD" w:rsidRDefault="00F35280" w:rsidP="004E677B">
      <w:pPr>
        <w:pStyle w:val="ListParagraph"/>
        <w:numPr>
          <w:ilvl w:val="0"/>
          <w:numId w:val="21"/>
        </w:numPr>
        <w:spacing w:after="0"/>
        <w:rPr>
          <w:lang w:val="en-AU"/>
        </w:rPr>
      </w:pPr>
      <w:r w:rsidRPr="004E677B">
        <w:rPr>
          <w:b/>
        </w:rPr>
        <w:t>commitment to human rights</w:t>
      </w:r>
      <w:r>
        <w:t xml:space="preserve"> by providing advice consistent with the Charter of Human Rights and Responsibilities and actively implementing, promoting and supporting human rights.</w:t>
      </w:r>
    </w:p>
    <w:p w14:paraId="086E0834" w14:textId="77777777" w:rsidR="009052CD" w:rsidRPr="009052CD" w:rsidRDefault="009052CD" w:rsidP="009052CD">
      <w:pPr>
        <w:spacing w:after="0"/>
        <w:rPr>
          <w:lang w:val="en-AU"/>
        </w:rPr>
      </w:pPr>
    </w:p>
    <w:p w14:paraId="12F1BFD2" w14:textId="1B1C2A47" w:rsidR="00A9567D" w:rsidRDefault="00A9567D" w:rsidP="00A9567D">
      <w:pPr>
        <w:pStyle w:val="ListParagraph"/>
        <w:spacing w:after="0"/>
        <w:rPr>
          <w:lang w:val="en-AU"/>
        </w:rPr>
      </w:pPr>
    </w:p>
    <w:p w14:paraId="3AB7AD05" w14:textId="3FC4D0DD" w:rsidR="00FA7721" w:rsidRDefault="00FA7721">
      <w:pPr>
        <w:spacing w:after="0"/>
      </w:pPr>
      <w:r>
        <w:br w:type="page"/>
      </w:r>
    </w:p>
    <w:p w14:paraId="7C8D87AC" w14:textId="77777777" w:rsidR="002B66B0" w:rsidRDefault="002B66B0" w:rsidP="002B66B0"/>
    <w:p w14:paraId="6FDA411F" w14:textId="5C08935D" w:rsidR="00AC2227" w:rsidRDefault="00AC2227" w:rsidP="00AC2227">
      <w:pPr>
        <w:pStyle w:val="Heading1"/>
        <w:numPr>
          <w:ilvl w:val="0"/>
          <w:numId w:val="20"/>
        </w:numPr>
        <w:ind w:right="-291"/>
      </w:pPr>
      <w:bookmarkStart w:id="6" w:name="_Toc61436887"/>
      <w:bookmarkStart w:id="7" w:name="_Toc374629585"/>
      <w:bookmarkStart w:id="8" w:name="_Toc375214806"/>
      <w:r>
        <w:t>Governance practices &amp; implementation</w:t>
      </w:r>
      <w:bookmarkEnd w:id="6"/>
    </w:p>
    <w:p w14:paraId="500A442E" w14:textId="2124AF28" w:rsidR="007D4C5C" w:rsidRDefault="007D4C5C" w:rsidP="007D4C5C">
      <w:r>
        <w:t xml:space="preserve">Governances practices are implemented through </w:t>
      </w:r>
      <w:r w:rsidR="009052CD">
        <w:t xml:space="preserve">Frameworks which address each governance practice. </w:t>
      </w:r>
    </w:p>
    <w:p w14:paraId="5972B684" w14:textId="52970E75" w:rsidR="009052CD" w:rsidRDefault="009052CD" w:rsidP="009052CD">
      <w:pPr>
        <w:pStyle w:val="Caption"/>
        <w:rPr>
          <w:sz w:val="24"/>
          <w:szCs w:val="24"/>
        </w:rPr>
      </w:pPr>
      <w:r w:rsidRPr="00A9567D">
        <w:rPr>
          <w:sz w:val="24"/>
          <w:szCs w:val="24"/>
        </w:rPr>
        <w:t xml:space="preserve">Table </w:t>
      </w:r>
      <w:r w:rsidRPr="00A9567D">
        <w:rPr>
          <w:sz w:val="24"/>
          <w:szCs w:val="24"/>
        </w:rPr>
        <w:fldChar w:fldCharType="begin"/>
      </w:r>
      <w:r w:rsidRPr="00A9567D">
        <w:rPr>
          <w:sz w:val="24"/>
          <w:szCs w:val="24"/>
        </w:rPr>
        <w:instrText xml:space="preserve"> SEQ Table \* ARABIC </w:instrText>
      </w:r>
      <w:r w:rsidRPr="00A9567D">
        <w:rPr>
          <w:sz w:val="24"/>
          <w:szCs w:val="24"/>
        </w:rPr>
        <w:fldChar w:fldCharType="separate"/>
      </w:r>
      <w:r w:rsidR="00794356">
        <w:rPr>
          <w:noProof/>
          <w:sz w:val="24"/>
          <w:szCs w:val="24"/>
        </w:rPr>
        <w:t>1</w:t>
      </w:r>
      <w:r w:rsidRPr="00A9567D">
        <w:rPr>
          <w:sz w:val="24"/>
          <w:szCs w:val="24"/>
        </w:rPr>
        <w:fldChar w:fldCharType="end"/>
      </w:r>
      <w:r w:rsidR="00404AC9">
        <w:rPr>
          <w:sz w:val="24"/>
          <w:szCs w:val="24"/>
        </w:rPr>
        <w:t xml:space="preserve"> Governance implementation m</w:t>
      </w:r>
      <w:r>
        <w:rPr>
          <w:sz w:val="24"/>
          <w:szCs w:val="24"/>
        </w:rPr>
        <w:t>ap</w:t>
      </w:r>
    </w:p>
    <w:tbl>
      <w:tblPr>
        <w:tblStyle w:val="TableGrid"/>
        <w:tblpPr w:leftFromText="180" w:rightFromText="180" w:vertAnchor="text" w:horzAnchor="margin" w:tblpXSpec="center" w:tblpY="357"/>
        <w:tblW w:w="0" w:type="auto"/>
        <w:tblBorders>
          <w:top w:val="single" w:sz="4" w:space="0" w:color="2459A9" w:themeColor="text1"/>
          <w:left w:val="single" w:sz="4" w:space="0" w:color="2459A9" w:themeColor="text1"/>
          <w:bottom w:val="single" w:sz="4" w:space="0" w:color="2459A9" w:themeColor="text1"/>
          <w:right w:val="single" w:sz="4" w:space="0" w:color="2459A9" w:themeColor="text1"/>
          <w:insideH w:val="single" w:sz="4" w:space="0" w:color="2459A9" w:themeColor="text1"/>
          <w:insideV w:val="single" w:sz="4" w:space="0" w:color="2459A9" w:themeColor="text1"/>
        </w:tblBorders>
        <w:tblLook w:val="04A0" w:firstRow="1" w:lastRow="0" w:firstColumn="1" w:lastColumn="0" w:noHBand="0" w:noVBand="1"/>
      </w:tblPr>
      <w:tblGrid>
        <w:gridCol w:w="4657"/>
        <w:gridCol w:w="4605"/>
      </w:tblGrid>
      <w:tr w:rsidR="009052CD" w:rsidRPr="00A9567D" w14:paraId="463EB13A" w14:textId="77777777" w:rsidTr="006645E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57" w:type="dxa"/>
          </w:tcPr>
          <w:p w14:paraId="22D2268A" w14:textId="77777777" w:rsidR="009052CD" w:rsidRPr="00404AC9" w:rsidRDefault="009052CD" w:rsidP="006645E9">
            <w:pPr>
              <w:spacing w:after="0"/>
              <w:jc w:val="both"/>
              <w:rPr>
                <w:sz w:val="24"/>
                <w:lang w:val="en-AU"/>
              </w:rPr>
            </w:pPr>
            <w:r w:rsidRPr="00404AC9">
              <w:rPr>
                <w:sz w:val="24"/>
                <w:lang w:val="en-AU"/>
              </w:rPr>
              <w:t xml:space="preserve">Governance practices </w:t>
            </w:r>
          </w:p>
        </w:tc>
        <w:tc>
          <w:tcPr>
            <w:tcW w:w="4605" w:type="dxa"/>
          </w:tcPr>
          <w:p w14:paraId="731D4DCD" w14:textId="77777777" w:rsidR="009052CD" w:rsidRPr="00404AC9" w:rsidRDefault="009052CD" w:rsidP="006645E9">
            <w:pPr>
              <w:spacing w:after="0"/>
              <w:cnfStyle w:val="100000000000" w:firstRow="1" w:lastRow="0" w:firstColumn="0" w:lastColumn="0" w:oddVBand="0" w:evenVBand="0" w:oddHBand="0" w:evenHBand="0" w:firstRowFirstColumn="0" w:firstRowLastColumn="0" w:lastRowFirstColumn="0" w:lastRowLastColumn="0"/>
              <w:rPr>
                <w:sz w:val="24"/>
                <w:lang w:val="en-AU"/>
              </w:rPr>
            </w:pPr>
            <w:r w:rsidRPr="00404AC9">
              <w:rPr>
                <w:sz w:val="24"/>
                <w:lang w:val="en-AU"/>
              </w:rPr>
              <w:t>Implementation framework</w:t>
            </w:r>
          </w:p>
        </w:tc>
      </w:tr>
      <w:tr w:rsidR="009052CD" w:rsidRPr="00A9567D" w14:paraId="184964A8" w14:textId="77777777" w:rsidTr="006645E9">
        <w:tc>
          <w:tcPr>
            <w:cnfStyle w:val="001000000000" w:firstRow="0" w:lastRow="0" w:firstColumn="1" w:lastColumn="0" w:oddVBand="0" w:evenVBand="0" w:oddHBand="0" w:evenHBand="0" w:firstRowFirstColumn="0" w:firstRowLastColumn="0" w:lastRowFirstColumn="0" w:lastRowLastColumn="0"/>
            <w:tcW w:w="4657" w:type="dxa"/>
          </w:tcPr>
          <w:p w14:paraId="6E21CC5E" w14:textId="77777777" w:rsidR="009052CD" w:rsidRPr="00390822" w:rsidRDefault="009052CD" w:rsidP="00390822">
            <w:pPr>
              <w:rPr>
                <w:rFonts w:cstheme="minorHAnsi"/>
                <w:sz w:val="24"/>
              </w:rPr>
            </w:pPr>
            <w:r w:rsidRPr="00390822">
              <w:rPr>
                <w:rFonts w:cstheme="minorHAnsi"/>
                <w:sz w:val="24"/>
              </w:rPr>
              <w:t>Accountable management</w:t>
            </w:r>
          </w:p>
        </w:tc>
        <w:tc>
          <w:tcPr>
            <w:tcW w:w="4605" w:type="dxa"/>
          </w:tcPr>
          <w:p w14:paraId="21AA2B3C" w14:textId="77777777" w:rsidR="009052CD" w:rsidRPr="00404AC9" w:rsidRDefault="009052CD" w:rsidP="006645E9">
            <w:pPr>
              <w:spacing w:after="0"/>
              <w:cnfStyle w:val="000000000000" w:firstRow="0" w:lastRow="0" w:firstColumn="0" w:lastColumn="0" w:oddVBand="0" w:evenVBand="0" w:oddHBand="0" w:evenHBand="0" w:firstRowFirstColumn="0" w:firstRowLastColumn="0" w:lastRowFirstColumn="0" w:lastRowLastColumn="0"/>
              <w:rPr>
                <w:rFonts w:cstheme="minorHAnsi"/>
                <w:sz w:val="24"/>
                <w:lang w:val="en-AU"/>
              </w:rPr>
            </w:pPr>
            <w:r w:rsidRPr="00404AC9">
              <w:rPr>
                <w:rFonts w:cstheme="minorHAnsi"/>
                <w:sz w:val="24"/>
              </w:rPr>
              <w:t xml:space="preserve">Governance Framework </w:t>
            </w:r>
          </w:p>
        </w:tc>
      </w:tr>
      <w:tr w:rsidR="009052CD" w:rsidRPr="00A9567D" w14:paraId="0919B420" w14:textId="77777777" w:rsidTr="006645E9">
        <w:tc>
          <w:tcPr>
            <w:cnfStyle w:val="001000000000" w:firstRow="0" w:lastRow="0" w:firstColumn="1" w:lastColumn="0" w:oddVBand="0" w:evenVBand="0" w:oddHBand="0" w:evenHBand="0" w:firstRowFirstColumn="0" w:firstRowLastColumn="0" w:lastRowFirstColumn="0" w:lastRowLastColumn="0"/>
            <w:tcW w:w="4657" w:type="dxa"/>
          </w:tcPr>
          <w:p w14:paraId="52A73BED" w14:textId="77777777" w:rsidR="009052CD" w:rsidRPr="00404AC9" w:rsidRDefault="009052CD" w:rsidP="004C4BDB">
            <w:pPr>
              <w:rPr>
                <w:rFonts w:cstheme="minorHAnsi"/>
                <w:color w:val="auto"/>
                <w:sz w:val="24"/>
                <w:lang w:val="en-AU"/>
              </w:rPr>
            </w:pPr>
            <w:r w:rsidRPr="004C4BDB">
              <w:rPr>
                <w:rFonts w:cstheme="minorHAnsi"/>
                <w:sz w:val="24"/>
              </w:rPr>
              <w:t>Ethical decision making</w:t>
            </w:r>
          </w:p>
        </w:tc>
        <w:tc>
          <w:tcPr>
            <w:tcW w:w="4605" w:type="dxa"/>
          </w:tcPr>
          <w:p w14:paraId="74B2C418" w14:textId="77777777" w:rsidR="009052CD" w:rsidRPr="00404AC9" w:rsidRDefault="009052CD" w:rsidP="006645E9">
            <w:pPr>
              <w:spacing w:after="0"/>
              <w:cnfStyle w:val="000000000000" w:firstRow="0" w:lastRow="0" w:firstColumn="0" w:lastColumn="0" w:oddVBand="0" w:evenVBand="0" w:oddHBand="0" w:evenHBand="0" w:firstRowFirstColumn="0" w:firstRowLastColumn="0" w:lastRowFirstColumn="0" w:lastRowLastColumn="0"/>
              <w:rPr>
                <w:rFonts w:cstheme="minorHAnsi"/>
                <w:sz w:val="24"/>
                <w:lang w:val="en-AU"/>
              </w:rPr>
            </w:pPr>
            <w:r w:rsidRPr="00404AC9">
              <w:rPr>
                <w:rFonts w:cstheme="minorHAnsi"/>
                <w:sz w:val="24"/>
              </w:rPr>
              <w:t>Integrity Framework</w:t>
            </w:r>
          </w:p>
        </w:tc>
      </w:tr>
      <w:tr w:rsidR="009052CD" w:rsidRPr="00A9567D" w14:paraId="5E9EE918" w14:textId="77777777" w:rsidTr="006645E9">
        <w:tc>
          <w:tcPr>
            <w:cnfStyle w:val="001000000000" w:firstRow="0" w:lastRow="0" w:firstColumn="1" w:lastColumn="0" w:oddVBand="0" w:evenVBand="0" w:oddHBand="0" w:evenHBand="0" w:firstRowFirstColumn="0" w:firstRowLastColumn="0" w:lastRowFirstColumn="0" w:lastRowLastColumn="0"/>
            <w:tcW w:w="4657" w:type="dxa"/>
          </w:tcPr>
          <w:p w14:paraId="3A1FD637" w14:textId="77777777" w:rsidR="009052CD" w:rsidRPr="00404AC9" w:rsidRDefault="009052CD" w:rsidP="004C4BDB">
            <w:pPr>
              <w:rPr>
                <w:rFonts w:cstheme="minorHAnsi"/>
                <w:color w:val="auto"/>
                <w:sz w:val="24"/>
                <w:lang w:val="en-AU"/>
              </w:rPr>
            </w:pPr>
            <w:r w:rsidRPr="004C4BDB">
              <w:rPr>
                <w:rFonts w:cstheme="minorHAnsi"/>
                <w:sz w:val="24"/>
              </w:rPr>
              <w:t>Productive stakeholder engagement</w:t>
            </w:r>
          </w:p>
        </w:tc>
        <w:tc>
          <w:tcPr>
            <w:tcW w:w="4605" w:type="dxa"/>
          </w:tcPr>
          <w:p w14:paraId="7269C45C" w14:textId="77777777" w:rsidR="009052CD" w:rsidRPr="00404AC9" w:rsidRDefault="009052CD" w:rsidP="006645E9">
            <w:pPr>
              <w:spacing w:after="0"/>
              <w:cnfStyle w:val="000000000000" w:firstRow="0" w:lastRow="0" w:firstColumn="0" w:lastColumn="0" w:oddVBand="0" w:evenVBand="0" w:oddHBand="0" w:evenHBand="0" w:firstRowFirstColumn="0" w:firstRowLastColumn="0" w:lastRowFirstColumn="0" w:lastRowLastColumn="0"/>
              <w:rPr>
                <w:rFonts w:cstheme="minorHAnsi"/>
                <w:sz w:val="24"/>
                <w:lang w:val="en-AU"/>
              </w:rPr>
            </w:pPr>
            <w:r w:rsidRPr="00404AC9">
              <w:rPr>
                <w:rFonts w:cstheme="minorHAnsi"/>
                <w:sz w:val="24"/>
              </w:rPr>
              <w:t>Stakeholder Engagement Framework</w:t>
            </w:r>
          </w:p>
        </w:tc>
      </w:tr>
      <w:tr w:rsidR="009052CD" w:rsidRPr="00A9567D" w14:paraId="56E5C20F" w14:textId="77777777" w:rsidTr="006645E9">
        <w:tc>
          <w:tcPr>
            <w:cnfStyle w:val="001000000000" w:firstRow="0" w:lastRow="0" w:firstColumn="1" w:lastColumn="0" w:oddVBand="0" w:evenVBand="0" w:oddHBand="0" w:evenHBand="0" w:firstRowFirstColumn="0" w:firstRowLastColumn="0" w:lastRowFirstColumn="0" w:lastRowLastColumn="0"/>
            <w:tcW w:w="4657" w:type="dxa"/>
          </w:tcPr>
          <w:p w14:paraId="1161184F" w14:textId="77777777" w:rsidR="009052CD" w:rsidRPr="00404AC9" w:rsidRDefault="009052CD" w:rsidP="004C4BDB">
            <w:pPr>
              <w:rPr>
                <w:rFonts w:cstheme="minorHAnsi"/>
                <w:color w:val="auto"/>
                <w:sz w:val="24"/>
                <w:lang w:val="en-AU"/>
              </w:rPr>
            </w:pPr>
            <w:r w:rsidRPr="004C4BDB">
              <w:rPr>
                <w:rFonts w:cstheme="minorHAnsi"/>
                <w:sz w:val="24"/>
              </w:rPr>
              <w:t>Proficient planning, delivery and robust performance management</w:t>
            </w:r>
          </w:p>
        </w:tc>
        <w:tc>
          <w:tcPr>
            <w:tcW w:w="4605" w:type="dxa"/>
          </w:tcPr>
          <w:p w14:paraId="54EE5954" w14:textId="77777777" w:rsidR="009052CD" w:rsidRPr="00404AC9" w:rsidRDefault="009052CD" w:rsidP="006645E9">
            <w:pPr>
              <w:spacing w:after="0"/>
              <w:cnfStyle w:val="000000000000" w:firstRow="0" w:lastRow="0" w:firstColumn="0" w:lastColumn="0" w:oddVBand="0" w:evenVBand="0" w:oddHBand="0" w:evenHBand="0" w:firstRowFirstColumn="0" w:firstRowLastColumn="0" w:lastRowFirstColumn="0" w:lastRowLastColumn="0"/>
              <w:rPr>
                <w:rFonts w:cstheme="minorHAnsi"/>
                <w:sz w:val="24"/>
                <w:lang w:val="en-AU"/>
              </w:rPr>
            </w:pPr>
            <w:r w:rsidRPr="00404AC9">
              <w:rPr>
                <w:rFonts w:cstheme="minorHAnsi"/>
                <w:sz w:val="24"/>
              </w:rPr>
              <w:t>Planning and Performance Management Framework</w:t>
            </w:r>
          </w:p>
        </w:tc>
      </w:tr>
      <w:tr w:rsidR="009052CD" w:rsidRPr="00A9567D" w14:paraId="67BC6574" w14:textId="77777777" w:rsidTr="006645E9">
        <w:tc>
          <w:tcPr>
            <w:cnfStyle w:val="001000000000" w:firstRow="0" w:lastRow="0" w:firstColumn="1" w:lastColumn="0" w:oddVBand="0" w:evenVBand="0" w:oddHBand="0" w:evenHBand="0" w:firstRowFirstColumn="0" w:firstRowLastColumn="0" w:lastRowFirstColumn="0" w:lastRowLastColumn="0"/>
            <w:tcW w:w="4657" w:type="dxa"/>
          </w:tcPr>
          <w:p w14:paraId="47528B6C" w14:textId="77777777" w:rsidR="009052CD" w:rsidRPr="00404AC9" w:rsidRDefault="009052CD" w:rsidP="004C4BDB">
            <w:pPr>
              <w:rPr>
                <w:rFonts w:cstheme="minorHAnsi"/>
                <w:color w:val="auto"/>
                <w:sz w:val="24"/>
                <w:lang w:val="en-AU"/>
              </w:rPr>
            </w:pPr>
            <w:r w:rsidRPr="004C4BDB">
              <w:rPr>
                <w:rFonts w:cstheme="minorHAnsi"/>
                <w:sz w:val="24"/>
              </w:rPr>
              <w:t>Effective management of risk and opportunity</w:t>
            </w:r>
          </w:p>
        </w:tc>
        <w:tc>
          <w:tcPr>
            <w:tcW w:w="4605" w:type="dxa"/>
          </w:tcPr>
          <w:p w14:paraId="44BB7D22" w14:textId="77777777" w:rsidR="009052CD" w:rsidRPr="00404AC9" w:rsidRDefault="009052CD" w:rsidP="006645E9">
            <w:pPr>
              <w:spacing w:after="0"/>
              <w:cnfStyle w:val="000000000000" w:firstRow="0" w:lastRow="0" w:firstColumn="0" w:lastColumn="0" w:oddVBand="0" w:evenVBand="0" w:oddHBand="0" w:evenHBand="0" w:firstRowFirstColumn="0" w:firstRowLastColumn="0" w:lastRowFirstColumn="0" w:lastRowLastColumn="0"/>
              <w:rPr>
                <w:rFonts w:cstheme="minorHAnsi"/>
                <w:sz w:val="24"/>
                <w:lang w:val="en-AU"/>
              </w:rPr>
            </w:pPr>
            <w:r w:rsidRPr="00404AC9">
              <w:rPr>
                <w:rFonts w:cstheme="minorHAnsi"/>
                <w:sz w:val="24"/>
              </w:rPr>
              <w:t xml:space="preserve">Risk Management Framework </w:t>
            </w:r>
          </w:p>
        </w:tc>
      </w:tr>
      <w:tr w:rsidR="009052CD" w:rsidRPr="00A9567D" w14:paraId="196B51E5" w14:textId="77777777" w:rsidTr="006645E9">
        <w:tc>
          <w:tcPr>
            <w:cnfStyle w:val="001000000000" w:firstRow="0" w:lastRow="0" w:firstColumn="1" w:lastColumn="0" w:oddVBand="0" w:evenVBand="0" w:oddHBand="0" w:evenHBand="0" w:firstRowFirstColumn="0" w:firstRowLastColumn="0" w:lastRowFirstColumn="0" w:lastRowLastColumn="0"/>
            <w:tcW w:w="4657" w:type="dxa"/>
          </w:tcPr>
          <w:p w14:paraId="418D06C1" w14:textId="77777777" w:rsidR="009052CD" w:rsidRPr="00404AC9" w:rsidRDefault="009052CD" w:rsidP="004C4BDB">
            <w:pPr>
              <w:rPr>
                <w:rFonts w:cstheme="minorHAnsi"/>
                <w:color w:val="auto"/>
                <w:sz w:val="24"/>
                <w:lang w:val="en-AU"/>
              </w:rPr>
            </w:pPr>
            <w:r w:rsidRPr="004C4BDB">
              <w:rPr>
                <w:rFonts w:cstheme="minorHAnsi"/>
                <w:sz w:val="24"/>
              </w:rPr>
              <w:t>Embedded compliance and internal controls</w:t>
            </w:r>
          </w:p>
        </w:tc>
        <w:tc>
          <w:tcPr>
            <w:tcW w:w="4605" w:type="dxa"/>
          </w:tcPr>
          <w:p w14:paraId="5A48FE5E" w14:textId="77777777" w:rsidR="009052CD" w:rsidRPr="00404AC9" w:rsidRDefault="009052CD" w:rsidP="006645E9">
            <w:pPr>
              <w:pStyle w:val="BodyText"/>
              <w:spacing w:before="0" w:after="0"/>
              <w:ind w:left="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rPr>
            </w:pPr>
            <w:r w:rsidRPr="00404AC9">
              <w:rPr>
                <w:rFonts w:asciiTheme="minorHAnsi" w:hAnsiTheme="minorHAnsi" w:cstheme="minorHAnsi"/>
                <w:sz w:val="24"/>
              </w:rPr>
              <w:t>Legal and Regulatory Compliance Management Framework</w:t>
            </w:r>
          </w:p>
          <w:p w14:paraId="3D533756" w14:textId="77777777" w:rsidR="009052CD" w:rsidRPr="00404AC9" w:rsidRDefault="009052CD" w:rsidP="006645E9">
            <w:pPr>
              <w:pStyle w:val="BodyText"/>
              <w:spacing w:before="0" w:after="0"/>
              <w:ind w:left="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rPr>
            </w:pPr>
            <w:r w:rsidRPr="00404AC9">
              <w:rPr>
                <w:rFonts w:asciiTheme="minorHAnsi" w:hAnsiTheme="minorHAnsi" w:cstheme="minorHAnsi"/>
                <w:sz w:val="24"/>
              </w:rPr>
              <w:t>Strategic Internal Audit Plan</w:t>
            </w:r>
          </w:p>
          <w:p w14:paraId="3C7EBA41" w14:textId="77777777" w:rsidR="009052CD" w:rsidRPr="00404AC9" w:rsidRDefault="009052CD" w:rsidP="006645E9">
            <w:pPr>
              <w:pStyle w:val="BodyText"/>
              <w:spacing w:before="0" w:after="0"/>
              <w:ind w:left="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rPr>
            </w:pPr>
            <w:proofErr w:type="gramStart"/>
            <w:r w:rsidRPr="00404AC9">
              <w:rPr>
                <w:rFonts w:asciiTheme="minorHAnsi" w:hAnsiTheme="minorHAnsi" w:cstheme="minorHAnsi"/>
                <w:sz w:val="24"/>
              </w:rPr>
              <w:t>Financial Management</w:t>
            </w:r>
            <w:proofErr w:type="gramEnd"/>
            <w:r w:rsidRPr="00404AC9">
              <w:rPr>
                <w:rFonts w:asciiTheme="minorHAnsi" w:hAnsiTheme="minorHAnsi" w:cstheme="minorHAnsi"/>
                <w:sz w:val="24"/>
              </w:rPr>
              <w:t xml:space="preserve"> Framework</w:t>
            </w:r>
          </w:p>
          <w:p w14:paraId="64BC2B8C" w14:textId="77777777" w:rsidR="009052CD" w:rsidRPr="00404AC9" w:rsidRDefault="009052CD" w:rsidP="006645E9">
            <w:pPr>
              <w:pStyle w:val="BodyText"/>
              <w:spacing w:before="0" w:after="0"/>
              <w:ind w:left="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rPr>
            </w:pPr>
            <w:r w:rsidRPr="00404AC9">
              <w:rPr>
                <w:rFonts w:asciiTheme="minorHAnsi" w:hAnsiTheme="minorHAnsi" w:cstheme="minorHAnsi"/>
                <w:sz w:val="24"/>
              </w:rPr>
              <w:t>Procurement/Contract Management Framework</w:t>
            </w:r>
          </w:p>
          <w:p w14:paraId="21DF9532" w14:textId="77777777" w:rsidR="009052CD" w:rsidRPr="00404AC9" w:rsidRDefault="009052CD" w:rsidP="006645E9">
            <w:pPr>
              <w:spacing w:after="0"/>
              <w:cnfStyle w:val="000000000000" w:firstRow="0" w:lastRow="0" w:firstColumn="0" w:lastColumn="0" w:oddVBand="0" w:evenVBand="0" w:oddHBand="0" w:evenHBand="0" w:firstRowFirstColumn="0" w:firstRowLastColumn="0" w:lastRowFirstColumn="0" w:lastRowLastColumn="0"/>
              <w:rPr>
                <w:rFonts w:cstheme="minorHAnsi"/>
                <w:sz w:val="24"/>
                <w:lang w:val="en-AU"/>
              </w:rPr>
            </w:pPr>
            <w:r w:rsidRPr="00404AC9">
              <w:rPr>
                <w:rFonts w:cstheme="minorHAnsi"/>
                <w:sz w:val="24"/>
              </w:rPr>
              <w:t>Health &amp; Safety Framework</w:t>
            </w:r>
          </w:p>
        </w:tc>
      </w:tr>
      <w:tr w:rsidR="009052CD" w:rsidRPr="00A9567D" w14:paraId="536A58E6" w14:textId="77777777" w:rsidTr="006645E9">
        <w:tc>
          <w:tcPr>
            <w:cnfStyle w:val="001000000000" w:firstRow="0" w:lastRow="0" w:firstColumn="1" w:lastColumn="0" w:oddVBand="0" w:evenVBand="0" w:oddHBand="0" w:evenHBand="0" w:firstRowFirstColumn="0" w:firstRowLastColumn="0" w:lastRowFirstColumn="0" w:lastRowLastColumn="0"/>
            <w:tcW w:w="4657" w:type="dxa"/>
          </w:tcPr>
          <w:p w14:paraId="4531708B" w14:textId="5AAAE310" w:rsidR="009052CD" w:rsidRPr="00404AC9" w:rsidRDefault="009052CD" w:rsidP="004C4BDB">
            <w:pPr>
              <w:rPr>
                <w:rFonts w:cstheme="minorHAnsi"/>
                <w:color w:val="auto"/>
                <w:sz w:val="24"/>
                <w:lang w:val="en-AU"/>
              </w:rPr>
            </w:pPr>
            <w:r w:rsidRPr="004C4BDB">
              <w:rPr>
                <w:rFonts w:cstheme="minorHAnsi"/>
                <w:sz w:val="24"/>
              </w:rPr>
              <w:t>Res</w:t>
            </w:r>
            <w:r w:rsidR="004C4BDB">
              <w:rPr>
                <w:rFonts w:cstheme="minorHAnsi"/>
                <w:sz w:val="24"/>
              </w:rPr>
              <w:t>ponsible information management</w:t>
            </w:r>
          </w:p>
        </w:tc>
        <w:tc>
          <w:tcPr>
            <w:tcW w:w="4605" w:type="dxa"/>
          </w:tcPr>
          <w:p w14:paraId="14B760BC" w14:textId="77777777" w:rsidR="009052CD" w:rsidRPr="00404AC9" w:rsidRDefault="009052CD" w:rsidP="006645E9">
            <w:pPr>
              <w:pStyle w:val="BodyText"/>
              <w:spacing w:before="0" w:after="0"/>
              <w:ind w:left="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rPr>
            </w:pPr>
            <w:r w:rsidRPr="00404AC9">
              <w:rPr>
                <w:rFonts w:asciiTheme="minorHAnsi" w:hAnsiTheme="minorHAnsi" w:cstheme="minorHAnsi"/>
                <w:sz w:val="24"/>
              </w:rPr>
              <w:t>Information Security Management Framework</w:t>
            </w:r>
          </w:p>
          <w:p w14:paraId="5A06D6C6" w14:textId="77777777" w:rsidR="009052CD" w:rsidRPr="00404AC9" w:rsidRDefault="009052CD" w:rsidP="006645E9">
            <w:pPr>
              <w:spacing w:after="0"/>
              <w:cnfStyle w:val="000000000000" w:firstRow="0" w:lastRow="0" w:firstColumn="0" w:lastColumn="0" w:oddVBand="0" w:evenVBand="0" w:oddHBand="0" w:evenHBand="0" w:firstRowFirstColumn="0" w:firstRowLastColumn="0" w:lastRowFirstColumn="0" w:lastRowLastColumn="0"/>
              <w:rPr>
                <w:rFonts w:cstheme="minorHAnsi"/>
                <w:sz w:val="24"/>
                <w:lang w:val="en-AU"/>
              </w:rPr>
            </w:pPr>
            <w:r w:rsidRPr="00404AC9">
              <w:rPr>
                <w:rFonts w:cstheme="minorHAnsi"/>
                <w:sz w:val="24"/>
              </w:rPr>
              <w:t>Records Management Framework</w:t>
            </w:r>
          </w:p>
        </w:tc>
      </w:tr>
    </w:tbl>
    <w:p w14:paraId="52D25435" w14:textId="3F2A8A15" w:rsidR="009052CD" w:rsidRDefault="009052CD" w:rsidP="009052CD">
      <w:pPr>
        <w:pStyle w:val="Heading2"/>
        <w:keepLines w:val="0"/>
        <w:numPr>
          <w:ilvl w:val="1"/>
          <w:numId w:val="0"/>
        </w:numPr>
        <w:spacing w:before="200" w:after="60"/>
        <w:ind w:left="74" w:hanging="74"/>
      </w:pPr>
      <w:r>
        <w:rPr>
          <w:rFonts w:asciiTheme="minorHAnsi" w:eastAsia="Times New Roman" w:hAnsiTheme="minorHAnsi" w:cstheme="minorHAnsi"/>
          <w:b w:val="0"/>
          <w:color w:val="auto"/>
          <w:sz w:val="24"/>
          <w:szCs w:val="24"/>
          <w:lang w:val="en-AU"/>
        </w:rPr>
        <w:t xml:space="preserve"> </w:t>
      </w:r>
      <w:bookmarkStart w:id="9" w:name="_Toc61436888"/>
      <w:r>
        <w:rPr>
          <w:rFonts w:asciiTheme="minorHAnsi" w:eastAsia="Times New Roman" w:hAnsiTheme="minorHAnsi" w:cstheme="minorHAnsi"/>
          <w:b w:val="0"/>
          <w:color w:val="auto"/>
          <w:sz w:val="24"/>
          <w:szCs w:val="24"/>
          <w:lang w:val="en-AU"/>
        </w:rPr>
        <w:t>The following summarises the control system and a</w:t>
      </w:r>
      <w:r w:rsidRPr="009052CD">
        <w:rPr>
          <w:rFonts w:asciiTheme="minorHAnsi" w:eastAsia="Times New Roman" w:hAnsiTheme="minorHAnsi" w:cstheme="minorHAnsi"/>
          <w:b w:val="0"/>
          <w:color w:val="auto"/>
          <w:sz w:val="24"/>
          <w:szCs w:val="24"/>
          <w:lang w:val="en-AU"/>
        </w:rPr>
        <w:t xml:space="preserve"> detailed </w:t>
      </w:r>
      <w:r>
        <w:rPr>
          <w:rFonts w:asciiTheme="minorHAnsi" w:eastAsia="Times New Roman" w:hAnsiTheme="minorHAnsi" w:cstheme="minorHAnsi"/>
          <w:b w:val="0"/>
          <w:color w:val="auto"/>
          <w:sz w:val="24"/>
          <w:szCs w:val="24"/>
          <w:lang w:val="en-AU"/>
        </w:rPr>
        <w:t xml:space="preserve">map of the </w:t>
      </w:r>
      <w:r w:rsidRPr="009052CD">
        <w:rPr>
          <w:rFonts w:asciiTheme="minorHAnsi" w:eastAsia="Times New Roman" w:hAnsiTheme="minorHAnsi" w:cstheme="minorHAnsi"/>
          <w:b w:val="0"/>
          <w:color w:val="auto"/>
          <w:sz w:val="24"/>
          <w:szCs w:val="24"/>
          <w:lang w:val="en-AU"/>
        </w:rPr>
        <w:t>G</w:t>
      </w:r>
      <w:r>
        <w:rPr>
          <w:rFonts w:asciiTheme="minorHAnsi" w:eastAsia="Times New Roman" w:hAnsiTheme="minorHAnsi" w:cstheme="minorHAnsi"/>
          <w:b w:val="0"/>
          <w:color w:val="auto"/>
          <w:sz w:val="24"/>
          <w:szCs w:val="24"/>
          <w:lang w:val="en-AU"/>
        </w:rPr>
        <w:t xml:space="preserve">overnance </w:t>
      </w:r>
      <w:r w:rsidRPr="009052CD">
        <w:rPr>
          <w:rFonts w:asciiTheme="minorHAnsi" w:eastAsia="Times New Roman" w:hAnsiTheme="minorHAnsi" w:cstheme="minorHAnsi"/>
          <w:b w:val="0"/>
          <w:color w:val="auto"/>
          <w:sz w:val="24"/>
          <w:szCs w:val="24"/>
          <w:lang w:val="en-AU"/>
        </w:rPr>
        <w:t>control system map is at</w:t>
      </w:r>
      <w:r>
        <w:t xml:space="preserve"> </w:t>
      </w:r>
      <w:r w:rsidRPr="009052CD">
        <w:rPr>
          <w:rFonts w:asciiTheme="minorHAnsi" w:eastAsia="Times New Roman" w:hAnsiTheme="minorHAnsi" w:cstheme="minorHAnsi"/>
          <w:b w:val="0"/>
          <w:color w:val="auto"/>
          <w:sz w:val="24"/>
          <w:szCs w:val="24"/>
          <w:lang w:val="en-AU"/>
        </w:rPr>
        <w:t>Appendix 1</w:t>
      </w:r>
      <w:r>
        <w:rPr>
          <w:rFonts w:asciiTheme="minorHAnsi" w:eastAsia="Times New Roman" w:hAnsiTheme="minorHAnsi" w:cstheme="minorHAnsi"/>
          <w:b w:val="0"/>
          <w:color w:val="auto"/>
          <w:sz w:val="24"/>
          <w:szCs w:val="24"/>
          <w:lang w:val="en-AU"/>
        </w:rPr>
        <w:t>.</w:t>
      </w:r>
      <w:bookmarkEnd w:id="9"/>
      <w:r>
        <w:rPr>
          <w:rFonts w:asciiTheme="minorHAnsi" w:eastAsia="Times New Roman" w:hAnsiTheme="minorHAnsi" w:cstheme="minorHAnsi"/>
          <w:b w:val="0"/>
          <w:color w:val="auto"/>
          <w:sz w:val="24"/>
          <w:szCs w:val="24"/>
          <w:lang w:val="en-AU"/>
        </w:rPr>
        <w:t xml:space="preserve"> </w:t>
      </w:r>
    </w:p>
    <w:p w14:paraId="2ACC488A" w14:textId="77777777" w:rsidR="009052CD" w:rsidRDefault="009052CD">
      <w:pPr>
        <w:spacing w:after="0"/>
        <w:rPr>
          <w:rFonts w:asciiTheme="majorHAnsi" w:eastAsiaTheme="majorEastAsia" w:hAnsiTheme="majorHAnsi" w:cs="Times New Roman (Headings CS)"/>
          <w:b/>
          <w:color w:val="262B67" w:themeColor="text2"/>
          <w:sz w:val="36"/>
          <w:szCs w:val="26"/>
          <w:lang w:val="en-AU"/>
        </w:rPr>
      </w:pPr>
      <w:r>
        <w:rPr>
          <w:lang w:val="en-AU"/>
        </w:rPr>
        <w:br w:type="page"/>
      </w:r>
    </w:p>
    <w:p w14:paraId="24AC96B8" w14:textId="30543D9C" w:rsidR="00FA7721" w:rsidRPr="00FA7721" w:rsidRDefault="00FA7721" w:rsidP="00FA7721">
      <w:pPr>
        <w:pStyle w:val="Heading2"/>
        <w:keepLines w:val="0"/>
        <w:numPr>
          <w:ilvl w:val="1"/>
          <w:numId w:val="0"/>
        </w:numPr>
        <w:spacing w:before="200" w:after="60"/>
        <w:ind w:left="794" w:hanging="794"/>
        <w:rPr>
          <w:lang w:val="en-AU"/>
        </w:rPr>
      </w:pPr>
      <w:bookmarkStart w:id="10" w:name="_Toc61436889"/>
      <w:r>
        <w:rPr>
          <w:lang w:val="en-AU"/>
        </w:rPr>
        <w:lastRenderedPageBreak/>
        <w:t>4.1</w:t>
      </w:r>
      <w:r>
        <w:rPr>
          <w:lang w:val="en-AU"/>
        </w:rPr>
        <w:tab/>
      </w:r>
      <w:r w:rsidRPr="00FA7721">
        <w:rPr>
          <w:lang w:val="en-AU"/>
        </w:rPr>
        <w:t>Accountable management</w:t>
      </w:r>
      <w:bookmarkEnd w:id="7"/>
      <w:bookmarkEnd w:id="8"/>
      <w:bookmarkEnd w:id="10"/>
    </w:p>
    <w:p w14:paraId="0C1EE524" w14:textId="5FB22FE6" w:rsidR="00FA7721" w:rsidRPr="00FA7721" w:rsidRDefault="00FA7721" w:rsidP="00FA7721">
      <w:pPr>
        <w:pStyle w:val="BodyText"/>
        <w:ind w:left="0"/>
        <w:rPr>
          <w:rFonts w:asciiTheme="minorHAnsi" w:hAnsiTheme="minorHAnsi" w:cstheme="minorHAnsi"/>
          <w:sz w:val="24"/>
        </w:rPr>
      </w:pPr>
      <w:r w:rsidRPr="00FA7721">
        <w:rPr>
          <w:rFonts w:asciiTheme="minorHAnsi" w:hAnsiTheme="minorHAnsi" w:cstheme="minorHAnsi"/>
          <w:sz w:val="24"/>
        </w:rPr>
        <w:t xml:space="preserve">The VCGLR is a statutory authority within the Department of Justice and Community Safety (DJ) portfolio. Its </w:t>
      </w:r>
      <w:r w:rsidRPr="00FA7721">
        <w:rPr>
          <w:rFonts w:asciiTheme="minorHAnsi" w:hAnsiTheme="minorHAnsi" w:cstheme="minorHAnsi"/>
          <w:b/>
          <w:sz w:val="24"/>
        </w:rPr>
        <w:t>Governance Framework</w:t>
      </w:r>
      <w:r w:rsidRPr="00FA7721">
        <w:rPr>
          <w:rFonts w:asciiTheme="minorHAnsi" w:hAnsiTheme="minorHAnsi" w:cstheme="minorHAnsi"/>
          <w:sz w:val="24"/>
        </w:rPr>
        <w:t xml:space="preserve"> reflects its management under the provisions of the </w:t>
      </w:r>
      <w:r w:rsidRPr="00FA7721">
        <w:rPr>
          <w:rFonts w:asciiTheme="minorHAnsi" w:hAnsiTheme="minorHAnsi" w:cstheme="minorHAnsi"/>
          <w:i/>
          <w:sz w:val="24"/>
        </w:rPr>
        <w:t>Public Administration Act 2004</w:t>
      </w:r>
      <w:r w:rsidRPr="00FA7721">
        <w:rPr>
          <w:rFonts w:asciiTheme="minorHAnsi" w:hAnsiTheme="minorHAnsi" w:cstheme="minorHAnsi"/>
          <w:sz w:val="24"/>
        </w:rPr>
        <w:t xml:space="preserve"> and the </w:t>
      </w:r>
      <w:bookmarkStart w:id="11" w:name="_Hlk61438140"/>
      <w:r w:rsidRPr="00FA7721">
        <w:rPr>
          <w:rFonts w:asciiTheme="minorHAnsi" w:hAnsiTheme="minorHAnsi" w:cstheme="minorHAnsi"/>
          <w:i/>
          <w:sz w:val="24"/>
        </w:rPr>
        <w:t>Victorian Commission for Gambling and Liquor Regulation</w:t>
      </w:r>
      <w:r w:rsidRPr="00FA7721">
        <w:rPr>
          <w:rFonts w:asciiTheme="minorHAnsi" w:hAnsiTheme="minorHAnsi" w:cstheme="minorHAnsi"/>
          <w:sz w:val="24"/>
        </w:rPr>
        <w:t xml:space="preserve"> </w:t>
      </w:r>
      <w:r w:rsidRPr="00FA7721">
        <w:rPr>
          <w:rFonts w:asciiTheme="minorHAnsi" w:hAnsiTheme="minorHAnsi" w:cstheme="minorHAnsi"/>
          <w:i/>
          <w:sz w:val="24"/>
        </w:rPr>
        <w:t>Act 2011</w:t>
      </w:r>
      <w:r w:rsidR="009A5F2B">
        <w:rPr>
          <w:rFonts w:asciiTheme="minorHAnsi" w:hAnsiTheme="minorHAnsi" w:cstheme="minorHAnsi"/>
          <w:i/>
          <w:sz w:val="24"/>
        </w:rPr>
        <w:t>.</w:t>
      </w:r>
      <w:bookmarkEnd w:id="11"/>
    </w:p>
    <w:p w14:paraId="184956D2" w14:textId="77777777" w:rsidR="00FA7721" w:rsidRPr="00FA7721" w:rsidRDefault="00FA7721" w:rsidP="0029688F">
      <w:pPr>
        <w:pStyle w:val="BodyText"/>
        <w:spacing w:before="60" w:after="60"/>
        <w:ind w:left="0"/>
        <w:rPr>
          <w:rFonts w:asciiTheme="minorHAnsi" w:hAnsiTheme="minorHAnsi" w:cstheme="minorHAnsi"/>
          <w:b/>
          <w:color w:val="80A7E4" w:themeColor="text1" w:themeTint="80"/>
          <w:sz w:val="24"/>
        </w:rPr>
      </w:pPr>
      <w:r w:rsidRPr="00FA7721">
        <w:rPr>
          <w:rFonts w:asciiTheme="minorHAnsi" w:hAnsiTheme="minorHAnsi" w:cstheme="minorHAnsi"/>
          <w:b/>
          <w:color w:val="80A7E4" w:themeColor="text1" w:themeTint="80"/>
          <w:sz w:val="24"/>
        </w:rPr>
        <w:t>Governance Structure</w:t>
      </w:r>
    </w:p>
    <w:p w14:paraId="5094675E" w14:textId="6C9DAE45" w:rsidR="00FA7721" w:rsidRPr="00FA7721" w:rsidRDefault="00FA7721" w:rsidP="00FA7721">
      <w:pPr>
        <w:pStyle w:val="BodyText"/>
        <w:ind w:left="0"/>
        <w:rPr>
          <w:rFonts w:asciiTheme="minorHAnsi" w:hAnsiTheme="minorHAnsi" w:cstheme="minorHAnsi"/>
          <w:sz w:val="24"/>
        </w:rPr>
      </w:pPr>
      <w:bookmarkStart w:id="12" w:name="OLE_LINK3"/>
      <w:bookmarkStart w:id="13" w:name="OLE_LINK4"/>
      <w:r w:rsidRPr="00FA7721">
        <w:rPr>
          <w:rFonts w:asciiTheme="minorHAnsi" w:hAnsiTheme="minorHAnsi" w:cstheme="minorHAnsi"/>
          <w:sz w:val="24"/>
        </w:rPr>
        <w:t>The foll</w:t>
      </w:r>
      <w:r w:rsidR="004D7D90">
        <w:rPr>
          <w:rFonts w:asciiTheme="minorHAnsi" w:hAnsiTheme="minorHAnsi" w:cstheme="minorHAnsi"/>
          <w:sz w:val="24"/>
        </w:rPr>
        <w:t>owing figure details the VCGLR governance s</w:t>
      </w:r>
      <w:r w:rsidRPr="00FA7721">
        <w:rPr>
          <w:rFonts w:asciiTheme="minorHAnsi" w:hAnsiTheme="minorHAnsi" w:cstheme="minorHAnsi"/>
          <w:sz w:val="24"/>
        </w:rPr>
        <w:t>tructure.</w:t>
      </w:r>
    </w:p>
    <w:p w14:paraId="684E5A03" w14:textId="7DC6120D" w:rsidR="00FA7721" w:rsidRPr="00FA7721" w:rsidRDefault="00FA7721" w:rsidP="00FA7721">
      <w:pPr>
        <w:pStyle w:val="Caption"/>
        <w:rPr>
          <w:sz w:val="24"/>
          <w:szCs w:val="24"/>
        </w:rPr>
      </w:pPr>
      <w:r w:rsidRPr="00FA7721">
        <w:rPr>
          <w:sz w:val="24"/>
          <w:szCs w:val="24"/>
        </w:rPr>
        <w:t xml:space="preserve">Figure </w:t>
      </w:r>
      <w:r w:rsidRPr="00FA7721">
        <w:rPr>
          <w:sz w:val="24"/>
          <w:szCs w:val="24"/>
        </w:rPr>
        <w:fldChar w:fldCharType="begin"/>
      </w:r>
      <w:r w:rsidRPr="00FA7721">
        <w:rPr>
          <w:sz w:val="24"/>
          <w:szCs w:val="24"/>
        </w:rPr>
        <w:instrText xml:space="preserve"> SEQ Figure \* ARABIC </w:instrText>
      </w:r>
      <w:r w:rsidRPr="00FA7721">
        <w:rPr>
          <w:sz w:val="24"/>
          <w:szCs w:val="24"/>
        </w:rPr>
        <w:fldChar w:fldCharType="separate"/>
      </w:r>
      <w:r w:rsidR="00794356">
        <w:rPr>
          <w:noProof/>
          <w:sz w:val="24"/>
          <w:szCs w:val="24"/>
        </w:rPr>
        <w:t>2</w:t>
      </w:r>
      <w:r w:rsidRPr="00FA7721">
        <w:rPr>
          <w:noProof/>
          <w:sz w:val="24"/>
          <w:szCs w:val="24"/>
        </w:rPr>
        <w:fldChar w:fldCharType="end"/>
      </w:r>
      <w:r w:rsidR="007168C6">
        <w:rPr>
          <w:sz w:val="24"/>
          <w:szCs w:val="24"/>
        </w:rPr>
        <w:t xml:space="preserve"> VCGLR governance s</w:t>
      </w:r>
      <w:r w:rsidRPr="00FA7721">
        <w:rPr>
          <w:sz w:val="24"/>
          <w:szCs w:val="24"/>
        </w:rPr>
        <w:t>tructure</w:t>
      </w:r>
    </w:p>
    <w:p w14:paraId="20E00F44" w14:textId="77777777" w:rsidR="00FA7721" w:rsidRPr="00B36C71" w:rsidRDefault="00FA7721" w:rsidP="00FA7721">
      <w:pPr>
        <w:pStyle w:val="BodyText"/>
        <w:ind w:left="0"/>
      </w:pPr>
      <w:r w:rsidRPr="00544F39">
        <w:rPr>
          <w:noProof/>
        </w:rPr>
        <w:drawing>
          <wp:inline distT="0" distB="0" distL="0" distR="0" wp14:anchorId="7F82E258" wp14:editId="4EC46F37">
            <wp:extent cx="6343650" cy="37909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6344216" cy="3791288"/>
                    </a:xfrm>
                    <a:prstGeom prst="rect">
                      <a:avLst/>
                    </a:prstGeom>
                  </pic:spPr>
                </pic:pic>
              </a:graphicData>
            </a:graphic>
          </wp:inline>
        </w:drawing>
      </w:r>
    </w:p>
    <w:bookmarkEnd w:id="12"/>
    <w:bookmarkEnd w:id="13"/>
    <w:p w14:paraId="4EB665F0" w14:textId="77777777" w:rsidR="00FA7721" w:rsidRPr="002D5E50" w:rsidRDefault="00FA7721" w:rsidP="002D5E50">
      <w:pPr>
        <w:pStyle w:val="BodyText"/>
        <w:numPr>
          <w:ilvl w:val="0"/>
          <w:numId w:val="21"/>
        </w:numPr>
        <w:spacing w:before="0"/>
        <w:rPr>
          <w:rFonts w:asciiTheme="minorHAnsi" w:hAnsiTheme="minorHAnsi" w:cstheme="minorHAnsi"/>
          <w:noProof/>
          <w:sz w:val="24"/>
        </w:rPr>
      </w:pPr>
      <w:r w:rsidRPr="002D5E50">
        <w:rPr>
          <w:rFonts w:asciiTheme="minorHAnsi" w:hAnsiTheme="minorHAnsi" w:cstheme="minorHAnsi"/>
          <w:b/>
          <w:noProof/>
          <w:sz w:val="24"/>
        </w:rPr>
        <w:t>Portfolio Minister</w:t>
      </w:r>
      <w:r w:rsidRPr="002D5E50">
        <w:rPr>
          <w:rFonts w:asciiTheme="minorHAnsi" w:hAnsiTheme="minorHAnsi" w:cstheme="minorHAnsi"/>
          <w:noProof/>
          <w:sz w:val="24"/>
        </w:rPr>
        <w:t xml:space="preserve"> The Commission is accountable to the Minister who in turn is responsible to the Parliament for how the VCGLR exercises its functions.  The Commission is obliged to comply with the lawful directions of the Minister as well as the Minister for Finance and the Premier and provide to the Minister all requested information (unless prohibited by law), of any major risks to effective operations or conflict of interest breaches by Commissioners.</w:t>
      </w:r>
    </w:p>
    <w:p w14:paraId="467197E8" w14:textId="12EE82C0" w:rsidR="00FA7721" w:rsidRPr="002D5E50" w:rsidRDefault="00FA7721" w:rsidP="002D5E50">
      <w:pPr>
        <w:pStyle w:val="BodyText"/>
        <w:numPr>
          <w:ilvl w:val="0"/>
          <w:numId w:val="21"/>
        </w:numPr>
        <w:spacing w:before="0"/>
        <w:rPr>
          <w:rFonts w:asciiTheme="minorHAnsi" w:hAnsiTheme="minorHAnsi" w:cstheme="minorHAnsi"/>
          <w:noProof/>
          <w:sz w:val="24"/>
        </w:rPr>
      </w:pPr>
      <w:r w:rsidRPr="002D5E50">
        <w:rPr>
          <w:rFonts w:asciiTheme="minorHAnsi" w:hAnsiTheme="minorHAnsi" w:cstheme="minorHAnsi"/>
          <w:b/>
          <w:noProof/>
          <w:sz w:val="24"/>
        </w:rPr>
        <w:t>Secretary DJCS</w:t>
      </w:r>
      <w:r w:rsidRPr="002D5E50">
        <w:rPr>
          <w:rFonts w:asciiTheme="minorHAnsi" w:hAnsiTheme="minorHAnsi" w:cstheme="minorHAnsi"/>
          <w:noProof/>
          <w:sz w:val="24"/>
        </w:rPr>
        <w:t xml:space="preserve"> The Department has an advisory role to the Minister including advising on the performance of portfolio agencies. Liaison with the Secretary on significant policy, operational and administrative matters is usually conducted by the CEO. However, the Chair, on behalf of the Commission, also liaises directly or leads discussions. </w:t>
      </w:r>
    </w:p>
    <w:p w14:paraId="151ED089" w14:textId="77777777" w:rsidR="00FA7721" w:rsidRPr="002D5E50" w:rsidRDefault="00FA7721" w:rsidP="002D5E50">
      <w:pPr>
        <w:pStyle w:val="BodyText"/>
        <w:numPr>
          <w:ilvl w:val="0"/>
          <w:numId w:val="21"/>
        </w:numPr>
        <w:spacing w:before="0"/>
        <w:rPr>
          <w:rFonts w:asciiTheme="minorHAnsi" w:hAnsiTheme="minorHAnsi" w:cstheme="minorHAnsi"/>
          <w:noProof/>
          <w:sz w:val="24"/>
        </w:rPr>
      </w:pPr>
      <w:r w:rsidRPr="002D5E50">
        <w:rPr>
          <w:rFonts w:asciiTheme="minorHAnsi" w:hAnsiTheme="minorHAnsi" w:cstheme="minorHAnsi"/>
          <w:b/>
          <w:noProof/>
          <w:sz w:val="24"/>
        </w:rPr>
        <w:t>Commission</w:t>
      </w:r>
      <w:r w:rsidRPr="002D5E50">
        <w:rPr>
          <w:rFonts w:asciiTheme="minorHAnsi" w:hAnsiTheme="minorHAnsi" w:cstheme="minorHAnsi"/>
          <w:noProof/>
          <w:sz w:val="24"/>
        </w:rPr>
        <w:t xml:space="preserve"> The role of the Commissioners involves statutory decision making under gambling and liquor laws. The Commission (the Responsible Body) also performs the functions of a ‘board’ of a public sector body and is accountable to the Minister for the VCGLR’s financial management, performance and sustainability.</w:t>
      </w:r>
    </w:p>
    <w:p w14:paraId="607C9771" w14:textId="26D38C79" w:rsidR="00FA7721" w:rsidRPr="002D5E50" w:rsidRDefault="00FA7721" w:rsidP="002D5E50">
      <w:pPr>
        <w:pStyle w:val="BodyText"/>
        <w:numPr>
          <w:ilvl w:val="0"/>
          <w:numId w:val="21"/>
        </w:numPr>
        <w:spacing w:before="0"/>
        <w:rPr>
          <w:b/>
          <w:sz w:val="24"/>
        </w:rPr>
      </w:pPr>
      <w:r w:rsidRPr="002D5E50">
        <w:rPr>
          <w:b/>
          <w:sz w:val="24"/>
        </w:rPr>
        <w:lastRenderedPageBreak/>
        <w:t xml:space="preserve">Commission Committees </w:t>
      </w:r>
      <w:proofErr w:type="gramStart"/>
      <w:r w:rsidRPr="002D5E50">
        <w:rPr>
          <w:sz w:val="24"/>
        </w:rPr>
        <w:t>The</w:t>
      </w:r>
      <w:proofErr w:type="gramEnd"/>
      <w:r w:rsidRPr="002D5E50">
        <w:rPr>
          <w:sz w:val="24"/>
        </w:rPr>
        <w:t xml:space="preserve"> Commission is supported in its role by a number of advisory Committe</w:t>
      </w:r>
      <w:r w:rsidR="002D5E50">
        <w:rPr>
          <w:sz w:val="24"/>
        </w:rPr>
        <w:t>es which report directly to it.</w:t>
      </w:r>
    </w:p>
    <w:p w14:paraId="26CAB8F2" w14:textId="59244F0B" w:rsidR="00FA7721" w:rsidRDefault="00FA7721" w:rsidP="002D5E50">
      <w:pPr>
        <w:pStyle w:val="BodyText"/>
        <w:numPr>
          <w:ilvl w:val="1"/>
          <w:numId w:val="21"/>
        </w:numPr>
        <w:tabs>
          <w:tab w:val="clear" w:pos="1440"/>
        </w:tabs>
        <w:spacing w:before="0"/>
        <w:ind w:left="1134"/>
        <w:jc w:val="left"/>
        <w:rPr>
          <w:rFonts w:asciiTheme="minorHAnsi" w:hAnsiTheme="minorHAnsi" w:cstheme="minorHAnsi"/>
          <w:sz w:val="24"/>
        </w:rPr>
      </w:pPr>
      <w:r w:rsidRPr="00FA7721">
        <w:rPr>
          <w:rFonts w:asciiTheme="minorHAnsi" w:hAnsiTheme="minorHAnsi" w:cstheme="minorHAnsi"/>
          <w:b/>
          <w:sz w:val="24"/>
        </w:rPr>
        <w:t>Audit and Risk Management Committee (ARMC)</w:t>
      </w:r>
      <w:r w:rsidRPr="00FA7721">
        <w:rPr>
          <w:rFonts w:asciiTheme="minorHAnsi" w:hAnsiTheme="minorHAnsi" w:cstheme="minorHAnsi"/>
          <w:sz w:val="24"/>
        </w:rPr>
        <w:t xml:space="preserve"> established in accordance with the </w:t>
      </w:r>
      <w:bookmarkStart w:id="14" w:name="_Hlk61438183"/>
      <w:r w:rsidRPr="00FA7721">
        <w:rPr>
          <w:rFonts w:asciiTheme="minorHAnsi" w:hAnsiTheme="minorHAnsi" w:cstheme="minorHAnsi"/>
          <w:sz w:val="24"/>
        </w:rPr>
        <w:t xml:space="preserve">2018 Directions under the </w:t>
      </w:r>
      <w:proofErr w:type="gramStart"/>
      <w:r w:rsidRPr="00FA7721">
        <w:rPr>
          <w:rFonts w:asciiTheme="minorHAnsi" w:hAnsiTheme="minorHAnsi" w:cstheme="minorHAnsi"/>
          <w:i/>
          <w:sz w:val="24"/>
        </w:rPr>
        <w:t>Financial Management</w:t>
      </w:r>
      <w:proofErr w:type="gramEnd"/>
      <w:r w:rsidRPr="00FA7721">
        <w:rPr>
          <w:rFonts w:asciiTheme="minorHAnsi" w:hAnsiTheme="minorHAnsi" w:cstheme="minorHAnsi"/>
          <w:i/>
          <w:sz w:val="24"/>
        </w:rPr>
        <w:t xml:space="preserve"> Act 1994</w:t>
      </w:r>
      <w:r w:rsidRPr="00FA7721">
        <w:rPr>
          <w:rFonts w:asciiTheme="minorHAnsi" w:hAnsiTheme="minorHAnsi" w:cstheme="minorHAnsi"/>
          <w:sz w:val="24"/>
        </w:rPr>
        <w:t xml:space="preserve">. </w:t>
      </w:r>
      <w:bookmarkEnd w:id="14"/>
      <w:r w:rsidRPr="00FA7721">
        <w:rPr>
          <w:rFonts w:asciiTheme="minorHAnsi" w:hAnsiTheme="minorHAnsi" w:cstheme="minorHAnsi"/>
          <w:sz w:val="24"/>
        </w:rPr>
        <w:t xml:space="preserve">The Committee assists the Commission in reviewing the effectiveness of </w:t>
      </w:r>
      <w:proofErr w:type="gramStart"/>
      <w:r w:rsidRPr="00FA7721">
        <w:rPr>
          <w:rFonts w:asciiTheme="minorHAnsi" w:hAnsiTheme="minorHAnsi" w:cstheme="minorHAnsi"/>
          <w:sz w:val="24"/>
        </w:rPr>
        <w:t>financial management</w:t>
      </w:r>
      <w:proofErr w:type="gramEnd"/>
      <w:r w:rsidRPr="00FA7721">
        <w:rPr>
          <w:rFonts w:asciiTheme="minorHAnsi" w:hAnsiTheme="minorHAnsi" w:cstheme="minorHAnsi"/>
          <w:sz w:val="24"/>
        </w:rPr>
        <w:t xml:space="preserve">, internal and external audit activities, risk management, compliance requirements and the effectiveness of the internal control environment. The VCGLR maintains an independent and outsourced </w:t>
      </w:r>
      <w:r w:rsidRPr="00FA7721">
        <w:rPr>
          <w:rFonts w:asciiTheme="minorHAnsi" w:hAnsiTheme="minorHAnsi" w:cstheme="minorHAnsi"/>
          <w:b/>
          <w:sz w:val="24"/>
        </w:rPr>
        <w:t>Internal Audit</w:t>
      </w:r>
      <w:r w:rsidRPr="00FA7721">
        <w:rPr>
          <w:rFonts w:asciiTheme="minorHAnsi" w:hAnsiTheme="minorHAnsi" w:cstheme="minorHAnsi"/>
          <w:sz w:val="24"/>
        </w:rPr>
        <w:t xml:space="preserve"> function which is accountable to the ARMC.</w:t>
      </w:r>
    </w:p>
    <w:p w14:paraId="34BDD242" w14:textId="3848B7CC" w:rsidR="0029688F" w:rsidRPr="00FA7721" w:rsidRDefault="0029688F" w:rsidP="002D5E50">
      <w:pPr>
        <w:pStyle w:val="BodyText-List"/>
        <w:numPr>
          <w:ilvl w:val="1"/>
          <w:numId w:val="21"/>
        </w:numPr>
        <w:tabs>
          <w:tab w:val="clear" w:pos="1440"/>
        </w:tabs>
        <w:ind w:left="1134"/>
        <w:rPr>
          <w:rFonts w:asciiTheme="minorHAnsi" w:hAnsiTheme="minorHAnsi" w:cstheme="minorHAnsi"/>
          <w:sz w:val="24"/>
        </w:rPr>
      </w:pPr>
      <w:r w:rsidRPr="00FA7721">
        <w:rPr>
          <w:rFonts w:asciiTheme="minorHAnsi" w:hAnsiTheme="minorHAnsi" w:cstheme="minorHAnsi"/>
          <w:b/>
          <w:sz w:val="24"/>
        </w:rPr>
        <w:t>People and Culture (P&amp;C) Committee</w:t>
      </w:r>
      <w:r w:rsidRPr="00FA7721">
        <w:rPr>
          <w:rFonts w:asciiTheme="minorHAnsi" w:hAnsiTheme="minorHAnsi" w:cstheme="minorHAnsi"/>
          <w:sz w:val="24"/>
        </w:rPr>
        <w:t xml:space="preserve"> advises the Commission on the development of P&amp;C practices that are l</w:t>
      </w:r>
      <w:r>
        <w:rPr>
          <w:rFonts w:asciiTheme="minorHAnsi" w:hAnsiTheme="minorHAnsi" w:cstheme="minorHAnsi"/>
          <w:sz w:val="24"/>
        </w:rPr>
        <w:t xml:space="preserve">egally compliant, aligned with </w:t>
      </w:r>
      <w:r w:rsidRPr="00FA7721">
        <w:rPr>
          <w:rFonts w:asciiTheme="minorHAnsi" w:hAnsiTheme="minorHAnsi" w:cstheme="minorHAnsi"/>
          <w:sz w:val="24"/>
        </w:rPr>
        <w:t xml:space="preserve">VCGLR strategic priorities and assists the Chair in </w:t>
      </w:r>
      <w:r>
        <w:rPr>
          <w:rFonts w:asciiTheme="minorHAnsi" w:hAnsiTheme="minorHAnsi" w:cstheme="minorHAnsi"/>
          <w:sz w:val="24"/>
        </w:rPr>
        <w:t xml:space="preserve">the role of </w:t>
      </w:r>
      <w:r w:rsidRPr="00FA7721">
        <w:rPr>
          <w:rFonts w:asciiTheme="minorHAnsi" w:hAnsiTheme="minorHAnsi" w:cstheme="minorHAnsi"/>
          <w:sz w:val="24"/>
        </w:rPr>
        <w:t>public service body head.</w:t>
      </w:r>
    </w:p>
    <w:p w14:paraId="76A64F8F" w14:textId="029D69EE" w:rsidR="00FA7721" w:rsidRPr="0029688F" w:rsidRDefault="00FA7721" w:rsidP="002D5E50">
      <w:pPr>
        <w:pStyle w:val="BodyText"/>
        <w:numPr>
          <w:ilvl w:val="1"/>
          <w:numId w:val="21"/>
        </w:numPr>
        <w:tabs>
          <w:tab w:val="clear" w:pos="1440"/>
        </w:tabs>
        <w:spacing w:before="0"/>
        <w:ind w:left="1134" w:right="-149"/>
        <w:jc w:val="left"/>
        <w:rPr>
          <w:rFonts w:asciiTheme="minorHAnsi" w:hAnsiTheme="minorHAnsi" w:cstheme="minorHAnsi"/>
          <w:sz w:val="24"/>
        </w:rPr>
      </w:pPr>
      <w:r w:rsidRPr="0029688F">
        <w:rPr>
          <w:rFonts w:asciiTheme="minorHAnsi" w:hAnsiTheme="minorHAnsi" w:cstheme="minorHAnsi"/>
          <w:b/>
          <w:sz w:val="24"/>
        </w:rPr>
        <w:t>Legislation, Regulation and Policy (LRP) Committee</w:t>
      </w:r>
      <w:r w:rsidR="0015294B">
        <w:rPr>
          <w:rFonts w:asciiTheme="minorHAnsi" w:hAnsiTheme="minorHAnsi" w:cstheme="minorHAnsi"/>
          <w:sz w:val="24"/>
        </w:rPr>
        <w:t xml:space="preserve"> advises the </w:t>
      </w:r>
      <w:r w:rsidRPr="0029688F">
        <w:rPr>
          <w:rFonts w:asciiTheme="minorHAnsi" w:hAnsiTheme="minorHAnsi" w:cstheme="minorHAnsi"/>
          <w:sz w:val="24"/>
        </w:rPr>
        <w:t>Commission on legislation, regulation and policy matters to assist the Commission to effectively fulfil its regulatory obligations and improve the way it regulates.</w:t>
      </w:r>
    </w:p>
    <w:p w14:paraId="286E8F05" w14:textId="77777777" w:rsidR="00FA7721" w:rsidRDefault="00FA7721" w:rsidP="002D5E50">
      <w:pPr>
        <w:pStyle w:val="BodyText"/>
        <w:numPr>
          <w:ilvl w:val="0"/>
          <w:numId w:val="21"/>
        </w:numPr>
        <w:tabs>
          <w:tab w:val="clear" w:pos="720"/>
        </w:tabs>
        <w:spacing w:before="0"/>
        <w:rPr>
          <w:rFonts w:asciiTheme="minorHAnsi" w:hAnsiTheme="minorHAnsi" w:cstheme="minorHAnsi"/>
          <w:sz w:val="24"/>
        </w:rPr>
      </w:pPr>
      <w:r w:rsidRPr="0029688F">
        <w:rPr>
          <w:rFonts w:asciiTheme="minorHAnsi" w:hAnsiTheme="minorHAnsi" w:cstheme="minorHAnsi"/>
          <w:b/>
          <w:noProof/>
          <w:sz w:val="24"/>
        </w:rPr>
        <w:t>Chief Executive Officer (CEO)</w:t>
      </w:r>
      <w:r w:rsidRPr="00FA7721">
        <w:rPr>
          <w:rFonts w:asciiTheme="minorHAnsi" w:hAnsiTheme="minorHAnsi" w:cstheme="minorHAnsi"/>
          <w:noProof/>
          <w:sz w:val="24"/>
        </w:rPr>
        <w:t xml:space="preserve"> The role of the CEO is to manage the day to day activities of the VCGLR and to be responsible to the Commission for overall performance.</w:t>
      </w:r>
    </w:p>
    <w:p w14:paraId="68C13E86" w14:textId="2EFC845C" w:rsidR="00FA7721" w:rsidRPr="00FA7721" w:rsidRDefault="00FA7721" w:rsidP="002D5E50">
      <w:pPr>
        <w:pStyle w:val="BodyText"/>
        <w:numPr>
          <w:ilvl w:val="0"/>
          <w:numId w:val="21"/>
        </w:numPr>
        <w:tabs>
          <w:tab w:val="clear" w:pos="720"/>
        </w:tabs>
        <w:spacing w:before="0"/>
        <w:rPr>
          <w:rFonts w:asciiTheme="minorHAnsi" w:hAnsiTheme="minorHAnsi" w:cstheme="minorHAnsi"/>
          <w:noProof/>
          <w:sz w:val="24"/>
        </w:rPr>
      </w:pPr>
      <w:r w:rsidRPr="0029688F">
        <w:rPr>
          <w:rFonts w:asciiTheme="minorHAnsi" w:hAnsiTheme="minorHAnsi" w:cstheme="minorHAnsi"/>
          <w:b/>
          <w:noProof/>
          <w:sz w:val="24"/>
        </w:rPr>
        <w:t>Executive</w:t>
      </w:r>
      <w:r w:rsidRPr="00FA7721">
        <w:rPr>
          <w:rFonts w:asciiTheme="minorHAnsi" w:hAnsiTheme="minorHAnsi" w:cstheme="minorHAnsi"/>
          <w:noProof/>
          <w:sz w:val="24"/>
        </w:rPr>
        <w:t xml:space="preserve"> The Commission delegates general responsibility for the operations and management of the VCGLR to the CEO and the Executive. They are accountable to the Commission and fulfil this responsibility through the provision of reports, briefings and presentations to the Commission on a regular basis.</w:t>
      </w:r>
    </w:p>
    <w:p w14:paraId="58888FCB" w14:textId="77777777" w:rsidR="00FA7721" w:rsidRPr="0029688F" w:rsidRDefault="00FA7721" w:rsidP="0029688F">
      <w:pPr>
        <w:pStyle w:val="BodyText"/>
        <w:spacing w:before="60" w:after="60"/>
        <w:ind w:left="0"/>
        <w:rPr>
          <w:rFonts w:asciiTheme="minorHAnsi" w:hAnsiTheme="minorHAnsi" w:cstheme="minorHAnsi"/>
          <w:b/>
          <w:color w:val="80A7E4" w:themeColor="text1" w:themeTint="80"/>
          <w:sz w:val="24"/>
        </w:rPr>
      </w:pPr>
      <w:r w:rsidRPr="0029688F">
        <w:rPr>
          <w:rFonts w:asciiTheme="minorHAnsi" w:hAnsiTheme="minorHAnsi" w:cstheme="minorHAnsi"/>
          <w:b/>
          <w:color w:val="80A7E4" w:themeColor="text1" w:themeTint="80"/>
          <w:sz w:val="24"/>
        </w:rPr>
        <w:t>Charters</w:t>
      </w:r>
    </w:p>
    <w:p w14:paraId="0A0134EB" w14:textId="77777777" w:rsidR="00FA7721" w:rsidRPr="008561B9" w:rsidRDefault="00FA7721" w:rsidP="002D5E50">
      <w:pPr>
        <w:pStyle w:val="BodyText"/>
        <w:numPr>
          <w:ilvl w:val="0"/>
          <w:numId w:val="21"/>
        </w:numPr>
        <w:spacing w:before="0"/>
        <w:rPr>
          <w:rFonts w:asciiTheme="minorHAnsi" w:hAnsiTheme="minorHAnsi" w:cstheme="minorHAnsi"/>
          <w:noProof/>
          <w:sz w:val="24"/>
        </w:rPr>
      </w:pPr>
      <w:r w:rsidRPr="008561B9">
        <w:rPr>
          <w:rFonts w:asciiTheme="minorHAnsi" w:hAnsiTheme="minorHAnsi" w:cstheme="minorHAnsi"/>
          <w:noProof/>
          <w:sz w:val="24"/>
        </w:rPr>
        <w:t>Roles and responsibilities are clearly defined in a set of charters for the Commission and its Committees, Internal Audit and the Executive.</w:t>
      </w:r>
    </w:p>
    <w:p w14:paraId="6B57CA80" w14:textId="77777777" w:rsidR="00FA7721" w:rsidRPr="0029688F" w:rsidRDefault="00FA7721" w:rsidP="0029688F">
      <w:pPr>
        <w:pStyle w:val="BodyText"/>
        <w:spacing w:before="60" w:after="60"/>
        <w:ind w:left="0"/>
        <w:rPr>
          <w:rFonts w:asciiTheme="minorHAnsi" w:hAnsiTheme="minorHAnsi" w:cstheme="minorHAnsi"/>
          <w:b/>
          <w:color w:val="80A7E4" w:themeColor="text1" w:themeTint="80"/>
          <w:sz w:val="24"/>
        </w:rPr>
      </w:pPr>
      <w:r w:rsidRPr="0029688F">
        <w:rPr>
          <w:rFonts w:asciiTheme="minorHAnsi" w:hAnsiTheme="minorHAnsi" w:cstheme="minorHAnsi"/>
          <w:b/>
          <w:color w:val="80A7E4" w:themeColor="text1" w:themeTint="80"/>
          <w:sz w:val="24"/>
        </w:rPr>
        <w:t>Delegations</w:t>
      </w:r>
    </w:p>
    <w:p w14:paraId="22007402" w14:textId="77777777" w:rsidR="00FA7721" w:rsidRPr="0029688F" w:rsidRDefault="00FA7721" w:rsidP="002D5E50">
      <w:pPr>
        <w:pStyle w:val="BodyText"/>
        <w:numPr>
          <w:ilvl w:val="0"/>
          <w:numId w:val="21"/>
        </w:numPr>
        <w:spacing w:before="0"/>
        <w:rPr>
          <w:rFonts w:asciiTheme="minorHAnsi" w:hAnsiTheme="minorHAnsi" w:cstheme="minorHAnsi"/>
          <w:noProof/>
          <w:sz w:val="24"/>
        </w:rPr>
      </w:pPr>
      <w:bookmarkStart w:id="15" w:name="OLE_LINK1"/>
      <w:bookmarkStart w:id="16" w:name="OLE_LINK2"/>
      <w:r w:rsidRPr="0029688F">
        <w:rPr>
          <w:rFonts w:asciiTheme="minorHAnsi" w:hAnsiTheme="minorHAnsi" w:cstheme="minorHAnsi"/>
          <w:noProof/>
          <w:sz w:val="24"/>
        </w:rPr>
        <w:t xml:space="preserve">The Commission exercises its powers under its establishing legislation, through delegations of some its powers, duties and functions to a single Commissioner or group of Commissioners. The Commission also delegates operational approvals under gambling and liquor regulation to various positions within the organisation. </w:t>
      </w:r>
    </w:p>
    <w:p w14:paraId="066F2C99" w14:textId="77777777" w:rsidR="00FA7721" w:rsidRPr="0029688F" w:rsidRDefault="00FA7721" w:rsidP="002D5E50">
      <w:pPr>
        <w:pStyle w:val="BodyText"/>
        <w:numPr>
          <w:ilvl w:val="0"/>
          <w:numId w:val="21"/>
        </w:numPr>
        <w:spacing w:before="0"/>
        <w:rPr>
          <w:rFonts w:asciiTheme="minorHAnsi" w:hAnsiTheme="minorHAnsi" w:cstheme="minorHAnsi"/>
          <w:noProof/>
          <w:sz w:val="24"/>
        </w:rPr>
      </w:pPr>
      <w:r w:rsidRPr="0029688F">
        <w:rPr>
          <w:rFonts w:asciiTheme="minorHAnsi" w:hAnsiTheme="minorHAnsi" w:cstheme="minorHAnsi"/>
          <w:noProof/>
          <w:sz w:val="24"/>
        </w:rPr>
        <w:t>The Commission establishes and maintains authorisations covering the creation of financial obligations.</w:t>
      </w:r>
    </w:p>
    <w:p w14:paraId="720EA213" w14:textId="77777777" w:rsidR="00FA7721" w:rsidRPr="0029688F" w:rsidRDefault="00FA7721" w:rsidP="002D5E50">
      <w:pPr>
        <w:pStyle w:val="BodyText"/>
        <w:numPr>
          <w:ilvl w:val="0"/>
          <w:numId w:val="21"/>
        </w:numPr>
        <w:spacing w:before="0"/>
        <w:rPr>
          <w:rFonts w:asciiTheme="minorHAnsi" w:hAnsiTheme="minorHAnsi" w:cstheme="minorHAnsi"/>
          <w:noProof/>
          <w:sz w:val="24"/>
        </w:rPr>
      </w:pPr>
      <w:r w:rsidRPr="0029688F">
        <w:rPr>
          <w:rFonts w:asciiTheme="minorHAnsi" w:hAnsiTheme="minorHAnsi" w:cstheme="minorHAnsi"/>
          <w:noProof/>
          <w:sz w:val="24"/>
        </w:rPr>
        <w:t>The VCGLR Chair has employment powers conferred on him/her by enabling legislations and makes employment delegations to particular positions within the organisation. Registers and instruments which document these delegations are reviewed at least annually.</w:t>
      </w:r>
    </w:p>
    <w:bookmarkEnd w:id="15"/>
    <w:bookmarkEnd w:id="16"/>
    <w:p w14:paraId="16C8A6B2" w14:textId="77777777" w:rsidR="0029688F" w:rsidRPr="0015294B" w:rsidRDefault="00FA7721" w:rsidP="0029688F">
      <w:pPr>
        <w:pStyle w:val="BodyText"/>
        <w:spacing w:before="60" w:after="60"/>
        <w:ind w:left="0"/>
        <w:rPr>
          <w:rFonts w:asciiTheme="minorHAnsi" w:hAnsiTheme="minorHAnsi" w:cstheme="minorHAnsi"/>
          <w:b/>
          <w:sz w:val="24"/>
        </w:rPr>
      </w:pPr>
      <w:r w:rsidRPr="0029688F">
        <w:rPr>
          <w:rFonts w:asciiTheme="minorHAnsi" w:hAnsiTheme="minorHAnsi" w:cstheme="minorHAnsi"/>
          <w:b/>
          <w:color w:val="80A7E4" w:themeColor="text1" w:themeTint="80"/>
          <w:sz w:val="24"/>
        </w:rPr>
        <w:t>Organisational structure</w:t>
      </w:r>
    </w:p>
    <w:p w14:paraId="02E0A768" w14:textId="67287977" w:rsidR="00FA7721" w:rsidRPr="0015294B" w:rsidRDefault="00FA7721" w:rsidP="002D5E50">
      <w:pPr>
        <w:pStyle w:val="BodyText"/>
        <w:numPr>
          <w:ilvl w:val="0"/>
          <w:numId w:val="25"/>
        </w:numPr>
        <w:spacing w:before="0"/>
        <w:rPr>
          <w:rFonts w:asciiTheme="minorHAnsi" w:hAnsiTheme="minorHAnsi" w:cstheme="minorHAnsi"/>
          <w:b/>
          <w:sz w:val="24"/>
        </w:rPr>
      </w:pPr>
      <w:r w:rsidRPr="0015294B">
        <w:rPr>
          <w:rFonts w:asciiTheme="minorHAnsi" w:hAnsiTheme="minorHAnsi" w:cstheme="minorHAnsi"/>
          <w:sz w:val="24"/>
        </w:rPr>
        <w:t>The VCGLR undertakes regular reviews of its organisational structure to ensure that it is aligned with its strategic priorities. The organisational chart has clear reporting lines and is supported with position descriptions which are reviewed annually.</w:t>
      </w:r>
    </w:p>
    <w:p w14:paraId="4102BB20" w14:textId="77777777" w:rsidR="0015294B" w:rsidRDefault="0015294B">
      <w:pPr>
        <w:spacing w:after="0"/>
        <w:rPr>
          <w:rFonts w:asciiTheme="majorHAnsi" w:eastAsiaTheme="majorEastAsia" w:hAnsiTheme="majorHAnsi" w:cs="Times New Roman (Headings CS)"/>
          <w:b/>
          <w:color w:val="262B67" w:themeColor="text2"/>
          <w:sz w:val="36"/>
          <w:szCs w:val="26"/>
        </w:rPr>
      </w:pPr>
      <w:r>
        <w:br w:type="page"/>
      </w:r>
    </w:p>
    <w:p w14:paraId="3702A03C" w14:textId="189E6AAC" w:rsidR="002B66B0" w:rsidRDefault="0015294B" w:rsidP="0015294B">
      <w:pPr>
        <w:pStyle w:val="Heading2"/>
        <w:keepLines w:val="0"/>
        <w:numPr>
          <w:ilvl w:val="1"/>
          <w:numId w:val="0"/>
        </w:numPr>
        <w:spacing w:before="200" w:after="60"/>
        <w:ind w:left="794" w:hanging="794"/>
      </w:pPr>
      <w:bookmarkStart w:id="17" w:name="_Toc61436890"/>
      <w:r>
        <w:lastRenderedPageBreak/>
        <w:t xml:space="preserve">4.2 </w:t>
      </w:r>
      <w:r w:rsidR="00AC2227">
        <w:tab/>
      </w:r>
      <w:r>
        <w:t xml:space="preserve">Ethical </w:t>
      </w:r>
      <w:r w:rsidR="007168C6">
        <w:t>d</w:t>
      </w:r>
      <w:r>
        <w:t xml:space="preserve">ecision </w:t>
      </w:r>
      <w:r w:rsidR="007168C6">
        <w:t>m</w:t>
      </w:r>
      <w:r>
        <w:t>aking</w:t>
      </w:r>
      <w:bookmarkEnd w:id="17"/>
      <w:r>
        <w:t xml:space="preserve"> </w:t>
      </w:r>
    </w:p>
    <w:p w14:paraId="0C815571" w14:textId="77777777" w:rsidR="0015294B" w:rsidRPr="0015294B" w:rsidRDefault="0015294B" w:rsidP="0015294B">
      <w:pPr>
        <w:pStyle w:val="BodyText"/>
        <w:ind w:left="0"/>
        <w:rPr>
          <w:rFonts w:asciiTheme="minorHAnsi" w:hAnsiTheme="minorHAnsi" w:cstheme="minorHAnsi"/>
          <w:sz w:val="24"/>
        </w:rPr>
      </w:pPr>
      <w:r w:rsidRPr="0015294B">
        <w:rPr>
          <w:rFonts w:asciiTheme="minorHAnsi" w:hAnsiTheme="minorHAnsi" w:cstheme="minorHAnsi"/>
          <w:sz w:val="24"/>
        </w:rPr>
        <w:t xml:space="preserve">As the VCGLR is responsible for ensuring </w:t>
      </w:r>
      <w:proofErr w:type="gramStart"/>
      <w:r w:rsidRPr="0015294B">
        <w:rPr>
          <w:rFonts w:asciiTheme="minorHAnsi" w:hAnsiTheme="minorHAnsi" w:cstheme="minorHAnsi"/>
          <w:sz w:val="24"/>
        </w:rPr>
        <w:t>high standards</w:t>
      </w:r>
      <w:proofErr w:type="gramEnd"/>
      <w:r w:rsidRPr="0015294B">
        <w:rPr>
          <w:rFonts w:asciiTheme="minorHAnsi" w:hAnsiTheme="minorHAnsi" w:cstheme="minorHAnsi"/>
          <w:sz w:val="24"/>
        </w:rPr>
        <w:t xml:space="preserve"> of integrity and probity in the conduct of the industries it regulates, it is critical that its own operations are conducted transparently and with the highest standard of accountability, integrity and probity.  The VCGLR I</w:t>
      </w:r>
      <w:r w:rsidRPr="0015294B">
        <w:rPr>
          <w:rFonts w:asciiTheme="minorHAnsi" w:hAnsiTheme="minorHAnsi" w:cstheme="minorHAnsi"/>
          <w:b/>
          <w:bCs/>
          <w:sz w:val="24"/>
        </w:rPr>
        <w:t xml:space="preserve">ntegrity </w:t>
      </w:r>
      <w:r w:rsidRPr="0015294B">
        <w:rPr>
          <w:rFonts w:asciiTheme="minorHAnsi" w:hAnsiTheme="minorHAnsi" w:cstheme="minorHAnsi"/>
          <w:b/>
          <w:sz w:val="24"/>
        </w:rPr>
        <w:t>Framework</w:t>
      </w:r>
      <w:r w:rsidRPr="0015294B">
        <w:rPr>
          <w:rFonts w:asciiTheme="minorHAnsi" w:hAnsiTheme="minorHAnsi" w:cstheme="minorHAnsi"/>
          <w:sz w:val="24"/>
        </w:rPr>
        <w:t xml:space="preserve"> provides an integrated governance approach to enhancing integrity within the VCGLR and exposing and preventing corruption and fraud.</w:t>
      </w:r>
    </w:p>
    <w:p w14:paraId="116BF8AB" w14:textId="76AF7961" w:rsidR="0015294B" w:rsidRPr="0015294B" w:rsidRDefault="00877523" w:rsidP="00877523">
      <w:pPr>
        <w:pStyle w:val="BodyText"/>
        <w:numPr>
          <w:ilvl w:val="0"/>
          <w:numId w:val="21"/>
        </w:numPr>
        <w:shd w:val="clear" w:color="auto" w:fill="FFFFFF" w:themeFill="background1"/>
        <w:spacing w:before="0"/>
        <w:jc w:val="left"/>
        <w:rPr>
          <w:rFonts w:asciiTheme="minorHAnsi" w:hAnsiTheme="minorHAnsi" w:cstheme="minorHAnsi"/>
          <w:sz w:val="24"/>
        </w:rPr>
      </w:pPr>
      <w:r>
        <w:rPr>
          <w:rFonts w:asciiTheme="minorHAnsi" w:hAnsiTheme="minorHAnsi" w:cstheme="minorHAnsi"/>
          <w:b/>
          <w:sz w:val="24"/>
        </w:rPr>
        <w:t>E</w:t>
      </w:r>
      <w:r w:rsidR="0015294B" w:rsidRPr="0015294B">
        <w:rPr>
          <w:rFonts w:asciiTheme="minorHAnsi" w:hAnsiTheme="minorHAnsi" w:cstheme="minorHAnsi"/>
          <w:b/>
          <w:sz w:val="24"/>
        </w:rPr>
        <w:t>thical</w:t>
      </w:r>
      <w:r w:rsidR="0015294B" w:rsidRPr="0015294B">
        <w:rPr>
          <w:rFonts w:asciiTheme="minorHAnsi" w:hAnsiTheme="minorHAnsi" w:cstheme="minorHAnsi"/>
          <w:b/>
          <w:bCs/>
          <w:sz w:val="24"/>
        </w:rPr>
        <w:t xml:space="preserve"> standards</w:t>
      </w:r>
      <w:r w:rsidR="0015294B" w:rsidRPr="0015294B">
        <w:rPr>
          <w:rFonts w:asciiTheme="minorHAnsi" w:hAnsiTheme="minorHAnsi" w:cstheme="minorHAnsi"/>
          <w:sz w:val="24"/>
        </w:rPr>
        <w:t xml:space="preserve"> </w:t>
      </w:r>
      <w:r>
        <w:rPr>
          <w:rFonts w:asciiTheme="minorHAnsi" w:hAnsiTheme="minorHAnsi" w:cstheme="minorHAnsi"/>
          <w:sz w:val="24"/>
        </w:rPr>
        <w:t xml:space="preserve">are </w:t>
      </w:r>
      <w:r w:rsidR="0015294B" w:rsidRPr="0015294B">
        <w:rPr>
          <w:rFonts w:asciiTheme="minorHAnsi" w:hAnsiTheme="minorHAnsi" w:cstheme="minorHAnsi"/>
          <w:sz w:val="24"/>
        </w:rPr>
        <w:t>defined in codes of conduct and the VCGLR values statement</w:t>
      </w:r>
      <w:r>
        <w:rPr>
          <w:rFonts w:asciiTheme="minorHAnsi" w:hAnsiTheme="minorHAnsi" w:cstheme="minorHAnsi"/>
          <w:sz w:val="24"/>
        </w:rPr>
        <w:t>.</w:t>
      </w:r>
    </w:p>
    <w:p w14:paraId="762F7A94" w14:textId="5D9E3B9B" w:rsidR="0015294B" w:rsidRPr="0015294B" w:rsidRDefault="00877523" w:rsidP="00877523">
      <w:pPr>
        <w:pStyle w:val="BodyText"/>
        <w:numPr>
          <w:ilvl w:val="0"/>
          <w:numId w:val="21"/>
        </w:numPr>
        <w:shd w:val="clear" w:color="auto" w:fill="FFFFFF" w:themeFill="background1"/>
        <w:spacing w:before="0"/>
        <w:jc w:val="left"/>
        <w:rPr>
          <w:rFonts w:asciiTheme="minorHAnsi" w:hAnsiTheme="minorHAnsi" w:cstheme="minorHAnsi"/>
          <w:sz w:val="24"/>
        </w:rPr>
      </w:pPr>
      <w:r>
        <w:rPr>
          <w:rFonts w:asciiTheme="minorHAnsi" w:hAnsiTheme="minorHAnsi" w:cstheme="minorHAnsi"/>
          <w:sz w:val="24"/>
        </w:rPr>
        <w:t>T</w:t>
      </w:r>
      <w:r w:rsidR="0015294B" w:rsidRPr="0015294B">
        <w:rPr>
          <w:rFonts w:asciiTheme="minorHAnsi" w:hAnsiTheme="minorHAnsi" w:cstheme="minorHAnsi"/>
          <w:sz w:val="24"/>
        </w:rPr>
        <w:t xml:space="preserve">he </w:t>
      </w:r>
      <w:r w:rsidR="007556DD" w:rsidRPr="007556DD">
        <w:rPr>
          <w:rFonts w:asciiTheme="minorHAnsi" w:hAnsiTheme="minorHAnsi" w:cstheme="minorHAnsi"/>
          <w:b/>
          <w:sz w:val="24"/>
        </w:rPr>
        <w:t xml:space="preserve">integrity </w:t>
      </w:r>
      <w:r w:rsidR="0015294B" w:rsidRPr="007556DD">
        <w:rPr>
          <w:rFonts w:asciiTheme="minorHAnsi" w:hAnsiTheme="minorHAnsi" w:cstheme="minorHAnsi"/>
          <w:b/>
          <w:bCs/>
          <w:sz w:val="24"/>
        </w:rPr>
        <w:t>policy</w:t>
      </w:r>
      <w:r w:rsidR="0015294B" w:rsidRPr="0015294B">
        <w:rPr>
          <w:rFonts w:asciiTheme="minorHAnsi" w:hAnsiTheme="minorHAnsi" w:cstheme="minorHAnsi"/>
          <w:b/>
          <w:bCs/>
          <w:sz w:val="24"/>
        </w:rPr>
        <w:t xml:space="preserve"> framework</w:t>
      </w:r>
      <w:r>
        <w:rPr>
          <w:rFonts w:asciiTheme="minorHAnsi" w:hAnsiTheme="minorHAnsi" w:cstheme="minorHAnsi"/>
          <w:sz w:val="24"/>
        </w:rPr>
        <w:t xml:space="preserve"> </w:t>
      </w:r>
      <w:r w:rsidR="0015294B" w:rsidRPr="0015294B">
        <w:rPr>
          <w:rFonts w:asciiTheme="minorHAnsi" w:hAnsiTheme="minorHAnsi" w:cstheme="minorHAnsi"/>
          <w:sz w:val="24"/>
        </w:rPr>
        <w:t>provide</w:t>
      </w:r>
      <w:r>
        <w:rPr>
          <w:rFonts w:asciiTheme="minorHAnsi" w:hAnsiTheme="minorHAnsi" w:cstheme="minorHAnsi"/>
          <w:sz w:val="24"/>
        </w:rPr>
        <w:t>s</w:t>
      </w:r>
      <w:r w:rsidR="0015294B" w:rsidRPr="0015294B">
        <w:rPr>
          <w:rFonts w:asciiTheme="minorHAnsi" w:hAnsiTheme="minorHAnsi" w:cstheme="minorHAnsi"/>
          <w:sz w:val="24"/>
        </w:rPr>
        <w:t xml:space="preserve"> a comprehensive platform to support the culture of integrity</w:t>
      </w:r>
      <w:r>
        <w:rPr>
          <w:rFonts w:asciiTheme="minorHAnsi" w:hAnsiTheme="minorHAnsi" w:cstheme="minorHAnsi"/>
          <w:sz w:val="24"/>
        </w:rPr>
        <w:t>.</w:t>
      </w:r>
    </w:p>
    <w:p w14:paraId="167E8464" w14:textId="1066F997" w:rsidR="0015294B" w:rsidRPr="0015294B" w:rsidRDefault="00877523" w:rsidP="00877523">
      <w:pPr>
        <w:pStyle w:val="BodyText"/>
        <w:numPr>
          <w:ilvl w:val="0"/>
          <w:numId w:val="21"/>
        </w:numPr>
        <w:shd w:val="clear" w:color="auto" w:fill="FFFFFF" w:themeFill="background1"/>
        <w:spacing w:before="0"/>
        <w:jc w:val="left"/>
        <w:rPr>
          <w:rFonts w:asciiTheme="minorHAnsi" w:hAnsiTheme="minorHAnsi" w:cstheme="minorHAnsi"/>
          <w:sz w:val="24"/>
        </w:rPr>
      </w:pPr>
      <w:r>
        <w:rPr>
          <w:rFonts w:asciiTheme="minorHAnsi" w:hAnsiTheme="minorHAnsi" w:cstheme="minorHAnsi"/>
          <w:b/>
          <w:sz w:val="24"/>
        </w:rPr>
        <w:t>C</w:t>
      </w:r>
      <w:r w:rsidR="0015294B" w:rsidRPr="0015294B">
        <w:rPr>
          <w:rFonts w:asciiTheme="minorHAnsi" w:hAnsiTheme="minorHAnsi" w:cstheme="minorHAnsi"/>
          <w:b/>
          <w:sz w:val="24"/>
        </w:rPr>
        <w:t>ulture</w:t>
      </w:r>
      <w:r w:rsidR="0015294B" w:rsidRPr="0015294B">
        <w:rPr>
          <w:rFonts w:asciiTheme="minorHAnsi" w:hAnsiTheme="minorHAnsi" w:cstheme="minorHAnsi"/>
          <w:b/>
          <w:bCs/>
          <w:sz w:val="24"/>
        </w:rPr>
        <w:t xml:space="preserve"> support </w:t>
      </w:r>
      <w:r>
        <w:rPr>
          <w:rFonts w:asciiTheme="minorHAnsi" w:hAnsiTheme="minorHAnsi" w:cstheme="minorHAnsi"/>
          <w:sz w:val="24"/>
        </w:rPr>
        <w:t xml:space="preserve">activities </w:t>
      </w:r>
      <w:r w:rsidR="0015294B" w:rsidRPr="0015294B">
        <w:rPr>
          <w:rFonts w:asciiTheme="minorHAnsi" w:hAnsiTheme="minorHAnsi" w:cstheme="minorHAnsi"/>
          <w:sz w:val="24"/>
        </w:rPr>
        <w:t xml:space="preserve">encourage staff to accept personal responsibility for behaving according to VCGLR values and in the public interest </w:t>
      </w:r>
      <w:r>
        <w:rPr>
          <w:rFonts w:asciiTheme="minorHAnsi" w:hAnsiTheme="minorHAnsi" w:cstheme="minorHAnsi"/>
          <w:sz w:val="24"/>
        </w:rPr>
        <w:t>and includes</w:t>
      </w:r>
      <w:r w:rsidR="0015294B" w:rsidRPr="0015294B">
        <w:rPr>
          <w:rFonts w:asciiTheme="minorHAnsi" w:hAnsiTheme="minorHAnsi" w:cstheme="minorHAnsi"/>
          <w:sz w:val="24"/>
        </w:rPr>
        <w:t xml:space="preserve"> an annual culture survey, the Workplace Culture Committee and a rewards and recognition program</w:t>
      </w:r>
      <w:r>
        <w:rPr>
          <w:rFonts w:asciiTheme="minorHAnsi" w:hAnsiTheme="minorHAnsi" w:cstheme="minorHAnsi"/>
          <w:sz w:val="24"/>
        </w:rPr>
        <w:t>.</w:t>
      </w:r>
    </w:p>
    <w:p w14:paraId="0EA9B74A" w14:textId="0C3AAFBF" w:rsidR="0015294B" w:rsidRPr="0015294B" w:rsidRDefault="00877523" w:rsidP="00877523">
      <w:pPr>
        <w:pStyle w:val="BodyText"/>
        <w:numPr>
          <w:ilvl w:val="0"/>
          <w:numId w:val="21"/>
        </w:numPr>
        <w:shd w:val="clear" w:color="auto" w:fill="FFFFFF" w:themeFill="background1"/>
        <w:spacing w:before="0"/>
        <w:jc w:val="left"/>
        <w:rPr>
          <w:rFonts w:asciiTheme="minorHAnsi" w:hAnsiTheme="minorHAnsi" w:cstheme="minorHAnsi"/>
          <w:sz w:val="24"/>
        </w:rPr>
      </w:pPr>
      <w:r>
        <w:rPr>
          <w:rFonts w:asciiTheme="minorHAnsi" w:hAnsiTheme="minorHAnsi" w:cstheme="minorHAnsi"/>
          <w:b/>
          <w:sz w:val="24"/>
        </w:rPr>
        <w:t>E</w:t>
      </w:r>
      <w:r w:rsidR="0015294B" w:rsidRPr="0015294B">
        <w:rPr>
          <w:rFonts w:asciiTheme="minorHAnsi" w:hAnsiTheme="minorHAnsi" w:cstheme="minorHAnsi"/>
          <w:b/>
          <w:sz w:val="24"/>
        </w:rPr>
        <w:t>thical</w:t>
      </w:r>
      <w:r w:rsidR="0015294B" w:rsidRPr="0015294B">
        <w:rPr>
          <w:rFonts w:asciiTheme="minorHAnsi" w:hAnsiTheme="minorHAnsi" w:cstheme="minorHAnsi"/>
          <w:b/>
          <w:bCs/>
          <w:sz w:val="24"/>
        </w:rPr>
        <w:t xml:space="preserve"> compliance certification </w:t>
      </w:r>
      <w:r w:rsidR="0015294B" w:rsidRPr="0015294B">
        <w:rPr>
          <w:rFonts w:asciiTheme="minorHAnsi" w:hAnsiTheme="minorHAnsi" w:cstheme="minorHAnsi"/>
          <w:sz w:val="24"/>
        </w:rPr>
        <w:t>of compliance with corporate policies and the VPS Code of Conduct</w:t>
      </w:r>
      <w:r>
        <w:rPr>
          <w:rFonts w:asciiTheme="minorHAnsi" w:hAnsiTheme="minorHAnsi" w:cstheme="minorHAnsi"/>
          <w:sz w:val="24"/>
        </w:rPr>
        <w:t xml:space="preserve"> </w:t>
      </w:r>
      <w:r w:rsidRPr="0015294B">
        <w:rPr>
          <w:rFonts w:asciiTheme="minorHAnsi" w:hAnsiTheme="minorHAnsi" w:cstheme="minorHAnsi"/>
          <w:sz w:val="24"/>
        </w:rPr>
        <w:t>by employees annually</w:t>
      </w:r>
      <w:r>
        <w:rPr>
          <w:rFonts w:asciiTheme="minorHAnsi" w:hAnsiTheme="minorHAnsi" w:cstheme="minorHAnsi"/>
          <w:sz w:val="24"/>
        </w:rPr>
        <w:t>.</w:t>
      </w:r>
    </w:p>
    <w:p w14:paraId="1FE945E3" w14:textId="55103701" w:rsidR="0015294B" w:rsidRPr="0015294B" w:rsidRDefault="00877523" w:rsidP="00877523">
      <w:pPr>
        <w:pStyle w:val="BodyText"/>
        <w:numPr>
          <w:ilvl w:val="0"/>
          <w:numId w:val="21"/>
        </w:numPr>
        <w:shd w:val="clear" w:color="auto" w:fill="FFFFFF" w:themeFill="background1"/>
        <w:spacing w:before="0"/>
        <w:jc w:val="left"/>
        <w:rPr>
          <w:rFonts w:asciiTheme="minorHAnsi" w:hAnsiTheme="minorHAnsi" w:cstheme="minorHAnsi"/>
          <w:sz w:val="24"/>
        </w:rPr>
      </w:pPr>
      <w:r>
        <w:rPr>
          <w:rFonts w:asciiTheme="minorHAnsi" w:hAnsiTheme="minorHAnsi" w:cstheme="minorHAnsi"/>
          <w:b/>
          <w:sz w:val="24"/>
        </w:rPr>
        <w:t>F</w:t>
      </w:r>
      <w:r w:rsidR="0012065B">
        <w:rPr>
          <w:rFonts w:asciiTheme="minorHAnsi" w:hAnsiTheme="minorHAnsi" w:cstheme="minorHAnsi"/>
          <w:b/>
          <w:sz w:val="24"/>
        </w:rPr>
        <w:t xml:space="preserve">raud and corruption </w:t>
      </w:r>
      <w:r w:rsidR="0015294B" w:rsidRPr="0015294B">
        <w:rPr>
          <w:rFonts w:asciiTheme="minorHAnsi" w:hAnsiTheme="minorHAnsi" w:cstheme="minorHAnsi"/>
          <w:b/>
          <w:sz w:val="24"/>
        </w:rPr>
        <w:t>risk management</w:t>
      </w:r>
      <w:r>
        <w:rPr>
          <w:rFonts w:asciiTheme="minorHAnsi" w:hAnsiTheme="minorHAnsi" w:cstheme="minorHAnsi"/>
          <w:sz w:val="24"/>
        </w:rPr>
        <w:t xml:space="preserve"> practices </w:t>
      </w:r>
      <w:r w:rsidR="0015294B" w:rsidRPr="0015294B">
        <w:rPr>
          <w:rFonts w:asciiTheme="minorHAnsi" w:hAnsiTheme="minorHAnsi" w:cstheme="minorHAnsi"/>
          <w:sz w:val="24"/>
        </w:rPr>
        <w:t>take an organisational wide approach to manage the integrity risk profile</w:t>
      </w:r>
      <w:r>
        <w:rPr>
          <w:rFonts w:asciiTheme="minorHAnsi" w:hAnsiTheme="minorHAnsi" w:cstheme="minorHAnsi"/>
          <w:sz w:val="24"/>
        </w:rPr>
        <w:t>.</w:t>
      </w:r>
    </w:p>
    <w:p w14:paraId="532ACB30" w14:textId="299896F7" w:rsidR="0015294B" w:rsidRPr="0015294B" w:rsidRDefault="00877523" w:rsidP="00877523">
      <w:pPr>
        <w:pStyle w:val="BodyText"/>
        <w:numPr>
          <w:ilvl w:val="0"/>
          <w:numId w:val="21"/>
        </w:numPr>
        <w:shd w:val="clear" w:color="auto" w:fill="FFFFFF" w:themeFill="background1"/>
        <w:spacing w:before="0"/>
        <w:jc w:val="left"/>
        <w:rPr>
          <w:rFonts w:asciiTheme="minorHAnsi" w:hAnsiTheme="minorHAnsi" w:cstheme="minorHAnsi"/>
          <w:sz w:val="24"/>
        </w:rPr>
      </w:pPr>
      <w:r>
        <w:rPr>
          <w:rFonts w:asciiTheme="minorHAnsi" w:hAnsiTheme="minorHAnsi" w:cstheme="minorHAnsi"/>
          <w:b/>
          <w:sz w:val="24"/>
        </w:rPr>
        <w:t>F</w:t>
      </w:r>
      <w:r w:rsidR="007556DD">
        <w:rPr>
          <w:rFonts w:asciiTheme="minorHAnsi" w:hAnsiTheme="minorHAnsi" w:cstheme="minorHAnsi"/>
          <w:b/>
          <w:sz w:val="24"/>
        </w:rPr>
        <w:t xml:space="preserve">raud </w:t>
      </w:r>
      <w:r w:rsidR="0012065B">
        <w:rPr>
          <w:rFonts w:asciiTheme="minorHAnsi" w:hAnsiTheme="minorHAnsi" w:cstheme="minorHAnsi"/>
          <w:b/>
          <w:sz w:val="24"/>
        </w:rPr>
        <w:t xml:space="preserve">and corruption </w:t>
      </w:r>
      <w:r w:rsidR="0015294B" w:rsidRPr="0015294B">
        <w:rPr>
          <w:rFonts w:asciiTheme="minorHAnsi" w:hAnsiTheme="minorHAnsi" w:cstheme="minorHAnsi"/>
          <w:b/>
          <w:sz w:val="24"/>
        </w:rPr>
        <w:t>prevention</w:t>
      </w:r>
      <w:r w:rsidR="0015294B" w:rsidRPr="0015294B">
        <w:rPr>
          <w:rFonts w:asciiTheme="minorHAnsi" w:hAnsiTheme="minorHAnsi" w:cstheme="minorHAnsi"/>
          <w:b/>
          <w:bCs/>
          <w:sz w:val="24"/>
        </w:rPr>
        <w:t xml:space="preserve"> measures </w:t>
      </w:r>
      <w:r>
        <w:rPr>
          <w:rFonts w:asciiTheme="minorHAnsi" w:hAnsiTheme="minorHAnsi" w:cstheme="minorHAnsi"/>
          <w:sz w:val="24"/>
        </w:rPr>
        <w:t>include</w:t>
      </w:r>
      <w:r w:rsidR="0015294B" w:rsidRPr="0015294B">
        <w:rPr>
          <w:rFonts w:asciiTheme="minorHAnsi" w:hAnsiTheme="minorHAnsi" w:cstheme="minorHAnsi"/>
          <w:sz w:val="24"/>
        </w:rPr>
        <w:t xml:space="preserve"> supplier vetting, protected information declarations, client and community awareness program, the Fraud and Corruption Control Policy and the annual Integrit</w:t>
      </w:r>
      <w:r w:rsidR="00A92C65">
        <w:rPr>
          <w:rFonts w:asciiTheme="minorHAnsi" w:hAnsiTheme="minorHAnsi" w:cstheme="minorHAnsi"/>
          <w:sz w:val="24"/>
        </w:rPr>
        <w:t>y Framework Implementation Plan</w:t>
      </w:r>
      <w:r>
        <w:rPr>
          <w:rFonts w:asciiTheme="minorHAnsi" w:hAnsiTheme="minorHAnsi" w:cstheme="minorHAnsi"/>
          <w:sz w:val="24"/>
        </w:rPr>
        <w:t>.</w:t>
      </w:r>
    </w:p>
    <w:p w14:paraId="2BC1D358" w14:textId="6EE8B3CF" w:rsidR="0015294B" w:rsidRPr="0015294B" w:rsidRDefault="00877523" w:rsidP="00877523">
      <w:pPr>
        <w:pStyle w:val="BodyText"/>
        <w:numPr>
          <w:ilvl w:val="0"/>
          <w:numId w:val="21"/>
        </w:numPr>
        <w:spacing w:before="0"/>
        <w:jc w:val="left"/>
        <w:rPr>
          <w:rFonts w:asciiTheme="minorHAnsi" w:hAnsiTheme="minorHAnsi" w:cstheme="minorHAnsi"/>
          <w:sz w:val="24"/>
        </w:rPr>
      </w:pPr>
      <w:r w:rsidRPr="00877523">
        <w:rPr>
          <w:rFonts w:asciiTheme="minorHAnsi" w:hAnsiTheme="minorHAnsi" w:cstheme="minorHAnsi"/>
          <w:sz w:val="24"/>
        </w:rPr>
        <w:t>There is</w:t>
      </w:r>
      <w:r>
        <w:rPr>
          <w:rFonts w:asciiTheme="minorHAnsi" w:hAnsiTheme="minorHAnsi" w:cstheme="minorHAnsi"/>
          <w:b/>
          <w:sz w:val="24"/>
        </w:rPr>
        <w:t xml:space="preserve"> </w:t>
      </w:r>
      <w:r w:rsidR="0015294B" w:rsidRPr="0015294B">
        <w:rPr>
          <w:rFonts w:asciiTheme="minorHAnsi" w:hAnsiTheme="minorHAnsi" w:cstheme="minorHAnsi"/>
          <w:b/>
          <w:sz w:val="24"/>
        </w:rPr>
        <w:t>central</w:t>
      </w:r>
      <w:r w:rsidR="0015294B" w:rsidRPr="0015294B">
        <w:rPr>
          <w:rFonts w:asciiTheme="minorHAnsi" w:hAnsiTheme="minorHAnsi" w:cstheme="minorHAnsi"/>
          <w:b/>
          <w:bCs/>
          <w:sz w:val="24"/>
        </w:rPr>
        <w:t xml:space="preserve"> oversight </w:t>
      </w:r>
      <w:r w:rsidR="0015294B" w:rsidRPr="0015294B">
        <w:rPr>
          <w:rFonts w:asciiTheme="minorHAnsi" w:hAnsiTheme="minorHAnsi" w:cstheme="minorHAnsi"/>
          <w:sz w:val="24"/>
        </w:rPr>
        <w:t>and high-level ownership for misconduct, corruption, fraud and theft resistance</w:t>
      </w:r>
      <w:r w:rsidR="002D5E50">
        <w:rPr>
          <w:rFonts w:asciiTheme="minorHAnsi" w:hAnsiTheme="minorHAnsi" w:cstheme="minorHAnsi"/>
          <w:sz w:val="24"/>
        </w:rPr>
        <w:t>.</w:t>
      </w:r>
    </w:p>
    <w:p w14:paraId="45D5A7D1" w14:textId="009E57E2" w:rsidR="0015294B" w:rsidRPr="0015294B" w:rsidRDefault="002D5E50" w:rsidP="00877523">
      <w:pPr>
        <w:pStyle w:val="BodyText"/>
        <w:numPr>
          <w:ilvl w:val="0"/>
          <w:numId w:val="21"/>
        </w:numPr>
        <w:spacing w:before="0"/>
        <w:jc w:val="left"/>
        <w:rPr>
          <w:rFonts w:asciiTheme="minorHAnsi" w:hAnsiTheme="minorHAnsi" w:cstheme="minorHAnsi"/>
          <w:sz w:val="24"/>
        </w:rPr>
      </w:pPr>
      <w:r>
        <w:rPr>
          <w:rFonts w:asciiTheme="minorHAnsi" w:hAnsiTheme="minorHAnsi" w:cstheme="minorHAnsi"/>
          <w:b/>
          <w:sz w:val="24"/>
        </w:rPr>
        <w:t>C</w:t>
      </w:r>
      <w:r w:rsidR="0015294B" w:rsidRPr="0015294B">
        <w:rPr>
          <w:rFonts w:asciiTheme="minorHAnsi" w:hAnsiTheme="minorHAnsi" w:cstheme="minorHAnsi"/>
          <w:b/>
          <w:sz w:val="24"/>
        </w:rPr>
        <w:t>ommitment</w:t>
      </w:r>
      <w:r w:rsidR="0015294B" w:rsidRPr="0015294B">
        <w:rPr>
          <w:rFonts w:asciiTheme="minorHAnsi" w:hAnsiTheme="minorHAnsi" w:cstheme="minorHAnsi"/>
          <w:b/>
          <w:bCs/>
          <w:sz w:val="24"/>
        </w:rPr>
        <w:t xml:space="preserve"> </w:t>
      </w:r>
      <w:r w:rsidR="0015294B" w:rsidRPr="0015294B">
        <w:rPr>
          <w:rFonts w:asciiTheme="minorHAnsi" w:hAnsiTheme="minorHAnsi" w:cstheme="minorHAnsi"/>
          <w:sz w:val="24"/>
        </w:rPr>
        <w:t>by the</w:t>
      </w:r>
      <w:r w:rsidR="0015294B" w:rsidRPr="0015294B">
        <w:rPr>
          <w:rFonts w:asciiTheme="minorHAnsi" w:hAnsiTheme="minorHAnsi" w:cstheme="minorHAnsi"/>
          <w:b/>
          <w:bCs/>
          <w:sz w:val="24"/>
        </w:rPr>
        <w:t xml:space="preserve"> </w:t>
      </w:r>
      <w:r w:rsidR="0015294B" w:rsidRPr="0015294B">
        <w:rPr>
          <w:rFonts w:asciiTheme="minorHAnsi" w:hAnsiTheme="minorHAnsi" w:cstheme="minorHAnsi"/>
          <w:sz w:val="24"/>
        </w:rPr>
        <w:t>Executive and line management</w:t>
      </w:r>
      <w:r w:rsidR="0015294B" w:rsidRPr="0015294B">
        <w:rPr>
          <w:rFonts w:asciiTheme="minorHAnsi" w:hAnsiTheme="minorHAnsi" w:cstheme="minorHAnsi"/>
          <w:b/>
          <w:bCs/>
          <w:sz w:val="24"/>
        </w:rPr>
        <w:t xml:space="preserve"> </w:t>
      </w:r>
      <w:r w:rsidR="0015294B" w:rsidRPr="0015294B">
        <w:rPr>
          <w:rFonts w:asciiTheme="minorHAnsi" w:hAnsiTheme="minorHAnsi" w:cstheme="minorHAnsi"/>
          <w:sz w:val="24"/>
        </w:rPr>
        <w:t>is embedded in performance development plans</w:t>
      </w:r>
      <w:r>
        <w:rPr>
          <w:rFonts w:asciiTheme="minorHAnsi" w:hAnsiTheme="minorHAnsi" w:cstheme="minorHAnsi"/>
          <w:sz w:val="24"/>
        </w:rPr>
        <w:t>.</w:t>
      </w:r>
    </w:p>
    <w:p w14:paraId="3093D664" w14:textId="08BDC883" w:rsidR="0015294B" w:rsidRPr="0015294B" w:rsidRDefault="002D5E50" w:rsidP="00877523">
      <w:pPr>
        <w:pStyle w:val="BodyText"/>
        <w:numPr>
          <w:ilvl w:val="0"/>
          <w:numId w:val="21"/>
        </w:numPr>
        <w:spacing w:before="0"/>
        <w:jc w:val="left"/>
        <w:rPr>
          <w:rFonts w:asciiTheme="minorHAnsi" w:hAnsiTheme="minorHAnsi" w:cstheme="minorHAnsi"/>
          <w:sz w:val="24"/>
        </w:rPr>
      </w:pPr>
      <w:r>
        <w:rPr>
          <w:rFonts w:asciiTheme="minorHAnsi" w:hAnsiTheme="minorHAnsi" w:cstheme="minorHAnsi"/>
          <w:b/>
          <w:sz w:val="24"/>
        </w:rPr>
        <w:t>F</w:t>
      </w:r>
      <w:r w:rsidR="0012065B">
        <w:rPr>
          <w:rFonts w:asciiTheme="minorHAnsi" w:hAnsiTheme="minorHAnsi" w:cstheme="minorHAnsi"/>
          <w:b/>
          <w:sz w:val="24"/>
        </w:rPr>
        <w:t xml:space="preserve">raud and corruption </w:t>
      </w:r>
      <w:r w:rsidR="0015294B" w:rsidRPr="0015294B">
        <w:rPr>
          <w:rFonts w:asciiTheme="minorHAnsi" w:hAnsiTheme="minorHAnsi" w:cstheme="minorHAnsi"/>
          <w:b/>
          <w:sz w:val="24"/>
        </w:rPr>
        <w:t>detection</w:t>
      </w:r>
      <w:r w:rsidR="0015294B" w:rsidRPr="0015294B">
        <w:rPr>
          <w:rFonts w:asciiTheme="minorHAnsi" w:hAnsiTheme="minorHAnsi" w:cstheme="minorHAnsi"/>
          <w:sz w:val="24"/>
        </w:rPr>
        <w:t xml:space="preserve"> </w:t>
      </w:r>
      <w:r>
        <w:rPr>
          <w:rFonts w:asciiTheme="minorHAnsi" w:hAnsiTheme="minorHAnsi" w:cstheme="minorHAnsi"/>
          <w:sz w:val="24"/>
        </w:rPr>
        <w:t xml:space="preserve">is </w:t>
      </w:r>
      <w:r w:rsidR="0015294B" w:rsidRPr="0015294B">
        <w:rPr>
          <w:rFonts w:asciiTheme="minorHAnsi" w:hAnsiTheme="minorHAnsi" w:cstheme="minorHAnsi"/>
          <w:sz w:val="24"/>
        </w:rPr>
        <w:t xml:space="preserve">encompassed into the existing internal control and assurance programs and include </w:t>
      </w:r>
      <w:r w:rsidR="002F1C55">
        <w:rPr>
          <w:rFonts w:asciiTheme="minorHAnsi" w:hAnsiTheme="minorHAnsi" w:cstheme="minorHAnsi"/>
          <w:sz w:val="24"/>
        </w:rPr>
        <w:t>audits by the Victorian Auditor-</w:t>
      </w:r>
      <w:r w:rsidR="0015294B" w:rsidRPr="0015294B">
        <w:rPr>
          <w:rFonts w:asciiTheme="minorHAnsi" w:hAnsiTheme="minorHAnsi" w:cstheme="minorHAnsi"/>
          <w:sz w:val="24"/>
        </w:rPr>
        <w:t>General’s Office (VAGO) and the Internal Auditors</w:t>
      </w:r>
      <w:r>
        <w:rPr>
          <w:rFonts w:asciiTheme="minorHAnsi" w:hAnsiTheme="minorHAnsi" w:cstheme="minorHAnsi"/>
          <w:sz w:val="24"/>
        </w:rPr>
        <w:t>.</w:t>
      </w:r>
    </w:p>
    <w:p w14:paraId="61F567D3" w14:textId="0F2FDD75" w:rsidR="0015294B" w:rsidRPr="0015294B" w:rsidRDefault="002D5E50" w:rsidP="00877523">
      <w:pPr>
        <w:pStyle w:val="BodyText"/>
        <w:numPr>
          <w:ilvl w:val="0"/>
          <w:numId w:val="21"/>
        </w:numPr>
        <w:spacing w:before="0"/>
        <w:jc w:val="left"/>
        <w:rPr>
          <w:rFonts w:asciiTheme="minorHAnsi" w:hAnsiTheme="minorHAnsi" w:cstheme="minorHAnsi"/>
          <w:sz w:val="24"/>
        </w:rPr>
      </w:pPr>
      <w:r w:rsidRPr="002D5E50">
        <w:rPr>
          <w:rFonts w:asciiTheme="minorHAnsi" w:hAnsiTheme="minorHAnsi" w:cstheme="minorHAnsi"/>
          <w:sz w:val="24"/>
        </w:rPr>
        <w:t xml:space="preserve">The </w:t>
      </w:r>
      <w:r w:rsidR="0012065B" w:rsidRPr="0012065B">
        <w:rPr>
          <w:rFonts w:asciiTheme="minorHAnsi" w:hAnsiTheme="minorHAnsi" w:cstheme="minorHAnsi"/>
          <w:b/>
          <w:sz w:val="24"/>
        </w:rPr>
        <w:t>fraud and corruption</w:t>
      </w:r>
      <w:r w:rsidR="0015294B" w:rsidRPr="0015294B">
        <w:rPr>
          <w:rFonts w:asciiTheme="minorHAnsi" w:hAnsiTheme="minorHAnsi" w:cstheme="minorHAnsi"/>
          <w:sz w:val="24"/>
        </w:rPr>
        <w:t xml:space="preserve"> </w:t>
      </w:r>
      <w:r w:rsidR="0015294B" w:rsidRPr="0015294B">
        <w:rPr>
          <w:rFonts w:asciiTheme="minorHAnsi" w:hAnsiTheme="minorHAnsi" w:cstheme="minorHAnsi"/>
          <w:b/>
          <w:bCs/>
          <w:sz w:val="24"/>
        </w:rPr>
        <w:t xml:space="preserve">response </w:t>
      </w:r>
      <w:r>
        <w:rPr>
          <w:rFonts w:asciiTheme="minorHAnsi" w:hAnsiTheme="minorHAnsi" w:cstheme="minorHAnsi"/>
          <w:sz w:val="24"/>
        </w:rPr>
        <w:t xml:space="preserve">approach </w:t>
      </w:r>
      <w:r w:rsidR="0015294B" w:rsidRPr="0015294B">
        <w:rPr>
          <w:rFonts w:asciiTheme="minorHAnsi" w:hAnsiTheme="minorHAnsi" w:cstheme="minorHAnsi"/>
          <w:sz w:val="24"/>
        </w:rPr>
        <w:t xml:space="preserve">is governed by processes for </w:t>
      </w:r>
      <w:bookmarkStart w:id="18" w:name="_GoBack"/>
      <w:bookmarkEnd w:id="18"/>
      <w:r w:rsidR="0015294B" w:rsidRPr="0015294B">
        <w:rPr>
          <w:rFonts w:asciiTheme="minorHAnsi" w:hAnsiTheme="minorHAnsi" w:cstheme="minorHAnsi"/>
          <w:sz w:val="24"/>
        </w:rPr>
        <w:t>reporting and investigating misconduct.</w:t>
      </w:r>
    </w:p>
    <w:p w14:paraId="6158818B" w14:textId="2762601E" w:rsidR="0015294B" w:rsidRDefault="0015294B" w:rsidP="0015294B">
      <w:pPr>
        <w:pStyle w:val="Heading2"/>
        <w:tabs>
          <w:tab w:val="num" w:pos="969"/>
        </w:tabs>
      </w:pPr>
      <w:bookmarkStart w:id="19" w:name="_Toc374629587"/>
      <w:bookmarkStart w:id="20" w:name="_Toc375214808"/>
      <w:bookmarkStart w:id="21" w:name="_Toc61436891"/>
      <w:r>
        <w:t>4.3</w:t>
      </w:r>
      <w:r w:rsidR="007168C6">
        <w:tab/>
      </w:r>
      <w:r>
        <w:t>Productive stakeholder management</w:t>
      </w:r>
      <w:bookmarkEnd w:id="19"/>
      <w:bookmarkEnd w:id="20"/>
      <w:bookmarkEnd w:id="21"/>
    </w:p>
    <w:p w14:paraId="2ED4EEAE" w14:textId="3AD7B460" w:rsidR="0015294B" w:rsidRPr="0015294B" w:rsidRDefault="0015294B" w:rsidP="0015294B">
      <w:pPr>
        <w:pStyle w:val="BodyText"/>
        <w:ind w:left="0"/>
        <w:jc w:val="left"/>
        <w:rPr>
          <w:rFonts w:asciiTheme="minorHAnsi" w:hAnsiTheme="minorHAnsi" w:cstheme="minorHAnsi"/>
          <w:sz w:val="24"/>
        </w:rPr>
      </w:pPr>
      <w:r w:rsidRPr="0015294B">
        <w:rPr>
          <w:rFonts w:asciiTheme="minorHAnsi" w:hAnsiTheme="minorHAnsi" w:cstheme="minorHAnsi"/>
          <w:sz w:val="24"/>
        </w:rPr>
        <w:t xml:space="preserve">The </w:t>
      </w:r>
      <w:r w:rsidRPr="0015294B">
        <w:rPr>
          <w:rFonts w:asciiTheme="minorHAnsi" w:hAnsiTheme="minorHAnsi" w:cstheme="minorHAnsi"/>
          <w:b/>
          <w:sz w:val="24"/>
        </w:rPr>
        <w:t>Stakeholder Engagement Framework</w:t>
      </w:r>
      <w:r w:rsidRPr="0015294B">
        <w:rPr>
          <w:rFonts w:asciiTheme="minorHAnsi" w:hAnsiTheme="minorHAnsi" w:cstheme="minorHAnsi"/>
          <w:sz w:val="24"/>
        </w:rPr>
        <w:t xml:space="preserve"> establishes the VCGLR’s approach to stakeholder management. It is supported by the annual VCGLR Stakeholder Engagement Strategy which details the VCGLR’s key stakeholders and key activities. The framework and strategy are augmented by communication policies and guidelines, periodic industry surveys, customer service standards and </w:t>
      </w:r>
      <w:r w:rsidR="00A55797">
        <w:rPr>
          <w:rFonts w:asciiTheme="minorHAnsi" w:hAnsiTheme="minorHAnsi" w:cstheme="minorHAnsi"/>
          <w:sz w:val="24"/>
        </w:rPr>
        <w:t xml:space="preserve">organisational </w:t>
      </w:r>
      <w:r w:rsidRPr="0015294B">
        <w:rPr>
          <w:rFonts w:asciiTheme="minorHAnsi" w:hAnsiTheme="minorHAnsi" w:cstheme="minorHAnsi"/>
          <w:sz w:val="24"/>
        </w:rPr>
        <w:t xml:space="preserve">complaints management processes. </w:t>
      </w:r>
    </w:p>
    <w:p w14:paraId="767D580F" w14:textId="77777777" w:rsidR="007A358E" w:rsidRDefault="007A358E">
      <w:pPr>
        <w:spacing w:after="0"/>
        <w:rPr>
          <w:rFonts w:asciiTheme="majorHAnsi" w:eastAsiaTheme="majorEastAsia" w:hAnsiTheme="majorHAnsi" w:cs="Times New Roman (Headings CS)"/>
          <w:b/>
          <w:color w:val="262B67" w:themeColor="text2"/>
          <w:sz w:val="36"/>
          <w:szCs w:val="26"/>
        </w:rPr>
      </w:pPr>
      <w:r>
        <w:br w:type="page"/>
      </w:r>
    </w:p>
    <w:p w14:paraId="47E255C1" w14:textId="5F2701CF" w:rsidR="002B66B0" w:rsidRDefault="007168C6" w:rsidP="0015294B">
      <w:pPr>
        <w:pStyle w:val="Heading2"/>
        <w:keepLines w:val="0"/>
        <w:numPr>
          <w:ilvl w:val="1"/>
          <w:numId w:val="0"/>
        </w:numPr>
        <w:spacing w:before="200" w:after="60"/>
        <w:ind w:left="794" w:hanging="794"/>
      </w:pPr>
      <w:bookmarkStart w:id="22" w:name="_Toc61436892"/>
      <w:r w:rsidRPr="007A358E">
        <w:rPr>
          <w:lang w:val="en-AU"/>
        </w:rPr>
        <w:lastRenderedPageBreak/>
        <w:t>4.4</w:t>
      </w:r>
      <w:r w:rsidRPr="007A358E">
        <w:rPr>
          <w:lang w:val="en-AU"/>
        </w:rPr>
        <w:tab/>
        <w:t>Proficient planning, delivery and robust performance management</w:t>
      </w:r>
      <w:bookmarkEnd w:id="22"/>
    </w:p>
    <w:p w14:paraId="71A579CB" w14:textId="79FFEBD6" w:rsidR="007168C6" w:rsidRPr="007168C6" w:rsidRDefault="007168C6" w:rsidP="007168C6">
      <w:pPr>
        <w:pStyle w:val="BodyText"/>
        <w:ind w:left="0"/>
        <w:rPr>
          <w:rFonts w:asciiTheme="minorHAnsi" w:hAnsiTheme="minorHAnsi" w:cstheme="minorHAnsi"/>
          <w:sz w:val="24"/>
        </w:rPr>
      </w:pPr>
      <w:r w:rsidRPr="007168C6">
        <w:rPr>
          <w:rFonts w:asciiTheme="minorHAnsi" w:hAnsiTheme="minorHAnsi" w:cstheme="minorHAnsi"/>
          <w:sz w:val="24"/>
        </w:rPr>
        <w:t xml:space="preserve">The </w:t>
      </w:r>
      <w:r w:rsidRPr="007168C6">
        <w:rPr>
          <w:rFonts w:asciiTheme="minorHAnsi" w:hAnsiTheme="minorHAnsi" w:cstheme="minorHAnsi"/>
          <w:b/>
          <w:sz w:val="24"/>
        </w:rPr>
        <w:t>Planning and Performance Management Framework</w:t>
      </w:r>
      <w:r w:rsidRPr="007168C6">
        <w:rPr>
          <w:rFonts w:asciiTheme="minorHAnsi" w:hAnsiTheme="minorHAnsi" w:cstheme="minorHAnsi"/>
          <w:sz w:val="24"/>
        </w:rPr>
        <w:t xml:space="preserve"> ensures effective operations and efficient use of resources through a comprehensive strategic planning process which includes </w:t>
      </w:r>
      <w:r w:rsidR="002D5E50">
        <w:rPr>
          <w:rFonts w:asciiTheme="minorHAnsi" w:hAnsiTheme="minorHAnsi" w:cstheme="minorHAnsi"/>
          <w:sz w:val="24"/>
        </w:rPr>
        <w:t>risk and opportunity assessment.</w:t>
      </w:r>
    </w:p>
    <w:p w14:paraId="743E582E" w14:textId="77777777" w:rsidR="007168C6" w:rsidRPr="007168C6" w:rsidRDefault="007168C6" w:rsidP="00877523">
      <w:pPr>
        <w:pStyle w:val="BodyText"/>
        <w:numPr>
          <w:ilvl w:val="0"/>
          <w:numId w:val="26"/>
        </w:numPr>
        <w:spacing w:before="0"/>
        <w:ind w:left="720"/>
        <w:rPr>
          <w:rFonts w:asciiTheme="minorHAnsi" w:hAnsiTheme="minorHAnsi" w:cstheme="minorHAnsi"/>
          <w:sz w:val="24"/>
        </w:rPr>
      </w:pPr>
      <w:r w:rsidRPr="00E269C0">
        <w:rPr>
          <w:rFonts w:asciiTheme="minorHAnsi" w:hAnsiTheme="minorHAnsi" w:cstheme="minorHAnsi"/>
          <w:b/>
          <w:sz w:val="24"/>
        </w:rPr>
        <w:t>Environmental scanning</w:t>
      </w:r>
      <w:r w:rsidRPr="007168C6">
        <w:rPr>
          <w:rFonts w:asciiTheme="minorHAnsi" w:hAnsiTheme="minorHAnsi" w:cstheme="minorHAnsi"/>
          <w:sz w:val="24"/>
        </w:rPr>
        <w:t xml:space="preserve"> is conducted. </w:t>
      </w:r>
    </w:p>
    <w:p w14:paraId="16C9CB3C" w14:textId="75E17248" w:rsidR="007168C6" w:rsidRPr="007A358E" w:rsidRDefault="00336E14" w:rsidP="00877523">
      <w:pPr>
        <w:pStyle w:val="BodyText"/>
        <w:numPr>
          <w:ilvl w:val="0"/>
          <w:numId w:val="26"/>
        </w:numPr>
        <w:spacing w:before="0"/>
        <w:ind w:left="720"/>
        <w:rPr>
          <w:sz w:val="24"/>
        </w:rPr>
      </w:pPr>
      <w:r w:rsidRPr="007A358E">
        <w:rPr>
          <w:sz w:val="24"/>
        </w:rPr>
        <w:t>The three-</w:t>
      </w:r>
      <w:r w:rsidR="007168C6" w:rsidRPr="007A358E">
        <w:rPr>
          <w:sz w:val="24"/>
        </w:rPr>
        <w:t xml:space="preserve">year </w:t>
      </w:r>
      <w:r w:rsidR="007168C6" w:rsidRPr="007A358E">
        <w:rPr>
          <w:b/>
          <w:sz w:val="24"/>
        </w:rPr>
        <w:t xml:space="preserve">Corporate Plan </w:t>
      </w:r>
      <w:r w:rsidR="007168C6" w:rsidRPr="007A358E">
        <w:rPr>
          <w:sz w:val="24"/>
        </w:rPr>
        <w:t>sets the long-term direction of the organisation and details the key priorities for the coming three years and the annual business planning process develops initiatives to deliver against each priority.</w:t>
      </w:r>
    </w:p>
    <w:p w14:paraId="56866D46" w14:textId="52E8678E" w:rsidR="007168C6" w:rsidRPr="007A358E" w:rsidRDefault="007168C6" w:rsidP="00877523">
      <w:pPr>
        <w:pStyle w:val="BodyText"/>
        <w:numPr>
          <w:ilvl w:val="0"/>
          <w:numId w:val="26"/>
        </w:numPr>
        <w:spacing w:before="0"/>
        <w:ind w:left="720"/>
        <w:rPr>
          <w:sz w:val="24"/>
        </w:rPr>
      </w:pPr>
      <w:r w:rsidRPr="007A358E">
        <w:rPr>
          <w:sz w:val="24"/>
        </w:rPr>
        <w:t>An i</w:t>
      </w:r>
      <w:r w:rsidR="002D5E50">
        <w:rPr>
          <w:sz w:val="24"/>
        </w:rPr>
        <w:t xml:space="preserve">ntegrated and cascading set of </w:t>
      </w:r>
      <w:r w:rsidR="002D5E50" w:rsidRPr="002D5E50">
        <w:rPr>
          <w:b/>
          <w:sz w:val="24"/>
        </w:rPr>
        <w:t>P</w:t>
      </w:r>
      <w:r w:rsidR="002D5E50">
        <w:rPr>
          <w:b/>
          <w:sz w:val="24"/>
        </w:rPr>
        <w:t xml:space="preserve">lans </w:t>
      </w:r>
      <w:r w:rsidR="002D5E50" w:rsidRPr="002D5E50">
        <w:rPr>
          <w:sz w:val="24"/>
        </w:rPr>
        <w:t xml:space="preserve">and </w:t>
      </w:r>
      <w:r w:rsidR="002D5E50">
        <w:rPr>
          <w:b/>
          <w:sz w:val="24"/>
        </w:rPr>
        <w:t>Key Performance I</w:t>
      </w:r>
      <w:r w:rsidRPr="002D5E50">
        <w:rPr>
          <w:b/>
          <w:sz w:val="24"/>
        </w:rPr>
        <w:t>ndicators</w:t>
      </w:r>
      <w:r w:rsidRPr="007A358E">
        <w:rPr>
          <w:sz w:val="24"/>
        </w:rPr>
        <w:t xml:space="preserve"> comprising the annual Business Plan, Divisional Plans and Performance Development Plans (PDP) are formulated.</w:t>
      </w:r>
    </w:p>
    <w:p w14:paraId="7E1B0445" w14:textId="2FFD5194" w:rsidR="007168C6" w:rsidRPr="007A358E" w:rsidRDefault="007168C6" w:rsidP="00877523">
      <w:pPr>
        <w:pStyle w:val="BodyText"/>
        <w:numPr>
          <w:ilvl w:val="0"/>
          <w:numId w:val="26"/>
        </w:numPr>
        <w:spacing w:before="0"/>
        <w:ind w:left="720"/>
        <w:rPr>
          <w:sz w:val="24"/>
        </w:rPr>
      </w:pPr>
      <w:r w:rsidRPr="007A358E">
        <w:rPr>
          <w:sz w:val="24"/>
        </w:rPr>
        <w:t xml:space="preserve">The </w:t>
      </w:r>
      <w:r w:rsidR="00E269C0" w:rsidRPr="007A358E">
        <w:rPr>
          <w:b/>
          <w:sz w:val="24"/>
        </w:rPr>
        <w:t>Workforce Strategy</w:t>
      </w:r>
      <w:r w:rsidR="00E269C0" w:rsidRPr="007A358E">
        <w:rPr>
          <w:sz w:val="24"/>
        </w:rPr>
        <w:t xml:space="preserve"> </w:t>
      </w:r>
      <w:r w:rsidRPr="007A358E">
        <w:rPr>
          <w:sz w:val="24"/>
        </w:rPr>
        <w:t xml:space="preserve">with its focus on leadership, </w:t>
      </w:r>
      <w:r w:rsidR="00E269C0">
        <w:rPr>
          <w:sz w:val="24"/>
        </w:rPr>
        <w:t>culture and capability, ensures</w:t>
      </w:r>
      <w:r w:rsidRPr="007A358E">
        <w:rPr>
          <w:sz w:val="24"/>
        </w:rPr>
        <w:t xml:space="preserve"> a skilled workforce at all levels is maintained and developed.</w:t>
      </w:r>
    </w:p>
    <w:p w14:paraId="6D7FD635" w14:textId="6A567C1A" w:rsidR="007168C6" w:rsidRPr="007A358E" w:rsidRDefault="007168C6" w:rsidP="00877523">
      <w:pPr>
        <w:pStyle w:val="BodyText"/>
        <w:numPr>
          <w:ilvl w:val="0"/>
          <w:numId w:val="26"/>
        </w:numPr>
        <w:spacing w:before="0"/>
        <w:ind w:left="720"/>
        <w:rPr>
          <w:sz w:val="24"/>
        </w:rPr>
      </w:pPr>
      <w:r w:rsidRPr="007A358E">
        <w:rPr>
          <w:sz w:val="24"/>
        </w:rPr>
        <w:t xml:space="preserve">The </w:t>
      </w:r>
      <w:r w:rsidRPr="007A358E">
        <w:rPr>
          <w:b/>
          <w:sz w:val="24"/>
        </w:rPr>
        <w:t>ICT strategy</w:t>
      </w:r>
      <w:r w:rsidRPr="007A358E">
        <w:rPr>
          <w:sz w:val="24"/>
        </w:rPr>
        <w:t xml:space="preserve"> ensures that </w:t>
      </w:r>
      <w:r w:rsidR="00E269C0">
        <w:rPr>
          <w:sz w:val="24"/>
        </w:rPr>
        <w:t xml:space="preserve">the </w:t>
      </w:r>
      <w:r w:rsidRPr="007A358E">
        <w:rPr>
          <w:sz w:val="24"/>
        </w:rPr>
        <w:t>technology capability of the organisation keeps pace with change and provides the ICT infrastructure and tools consistent with the needs of a modern regulator.</w:t>
      </w:r>
    </w:p>
    <w:p w14:paraId="5C4994EE" w14:textId="458BB249" w:rsidR="007168C6" w:rsidRPr="007A358E" w:rsidRDefault="007168C6" w:rsidP="00877523">
      <w:pPr>
        <w:pStyle w:val="BodyText"/>
        <w:numPr>
          <w:ilvl w:val="0"/>
          <w:numId w:val="26"/>
        </w:numPr>
        <w:spacing w:before="0"/>
        <w:ind w:left="720"/>
        <w:rPr>
          <w:sz w:val="24"/>
        </w:rPr>
      </w:pPr>
      <w:r w:rsidRPr="007A358E">
        <w:rPr>
          <w:sz w:val="24"/>
        </w:rPr>
        <w:t xml:space="preserve">The annual </w:t>
      </w:r>
      <w:r w:rsidRPr="00E269C0">
        <w:rPr>
          <w:b/>
          <w:sz w:val="24"/>
        </w:rPr>
        <w:t>budg</w:t>
      </w:r>
      <w:r w:rsidRPr="00E269C0">
        <w:rPr>
          <w:sz w:val="24"/>
        </w:rPr>
        <w:t>et</w:t>
      </w:r>
      <w:r w:rsidR="00E269C0">
        <w:rPr>
          <w:sz w:val="24"/>
        </w:rPr>
        <w:t xml:space="preserve"> and three-</w:t>
      </w:r>
      <w:r w:rsidRPr="007A358E">
        <w:rPr>
          <w:sz w:val="24"/>
        </w:rPr>
        <w:t>year forward estimates support delivery and efficient resource use aligned with organisational objectives.</w:t>
      </w:r>
    </w:p>
    <w:p w14:paraId="0DE35B09" w14:textId="77777777" w:rsidR="007168C6" w:rsidRPr="007A358E" w:rsidRDefault="007168C6" w:rsidP="00877523">
      <w:pPr>
        <w:pStyle w:val="BodyText"/>
        <w:numPr>
          <w:ilvl w:val="0"/>
          <w:numId w:val="26"/>
        </w:numPr>
        <w:spacing w:before="0"/>
        <w:ind w:left="720"/>
        <w:rPr>
          <w:sz w:val="24"/>
        </w:rPr>
      </w:pPr>
      <w:r w:rsidRPr="007A358E">
        <w:rPr>
          <w:sz w:val="24"/>
        </w:rPr>
        <w:t xml:space="preserve">Management information and accounting systems enable review of financial and non-financial performance against budgets and </w:t>
      </w:r>
      <w:r w:rsidRPr="007A358E">
        <w:rPr>
          <w:sz w:val="24"/>
          <w:lang w:eastAsia="en-AU"/>
        </w:rPr>
        <w:t>its</w:t>
      </w:r>
      <w:r w:rsidRPr="007A358E">
        <w:rPr>
          <w:sz w:val="24"/>
        </w:rPr>
        <w:t xml:space="preserve"> plans.</w:t>
      </w:r>
    </w:p>
    <w:p w14:paraId="0039169E" w14:textId="1F9B81AD" w:rsidR="002B66B0" w:rsidRPr="007A358E" w:rsidRDefault="007A358E" w:rsidP="007A358E">
      <w:pPr>
        <w:pStyle w:val="Heading2"/>
        <w:rPr>
          <w:lang w:val="en-AU"/>
        </w:rPr>
      </w:pPr>
      <w:bookmarkStart w:id="23" w:name="_Toc61436893"/>
      <w:r w:rsidRPr="007A358E">
        <w:rPr>
          <w:lang w:val="en-AU"/>
        </w:rPr>
        <w:t>4.5</w:t>
      </w:r>
      <w:r w:rsidRPr="007A358E">
        <w:rPr>
          <w:lang w:val="en-AU"/>
        </w:rPr>
        <w:tab/>
        <w:t>Effective management of risk and opportunity</w:t>
      </w:r>
      <w:bookmarkEnd w:id="23"/>
      <w:r w:rsidRPr="007A358E">
        <w:rPr>
          <w:lang w:val="en-AU"/>
        </w:rPr>
        <w:t xml:space="preserve"> </w:t>
      </w:r>
    </w:p>
    <w:p w14:paraId="6C27E1B2" w14:textId="49EB5F69" w:rsidR="00336E14" w:rsidRPr="007A358E" w:rsidRDefault="00336E14" w:rsidP="007A358E">
      <w:pPr>
        <w:pStyle w:val="BodyText"/>
        <w:ind w:left="0"/>
        <w:rPr>
          <w:rFonts w:asciiTheme="minorHAnsi" w:hAnsiTheme="minorHAnsi" w:cstheme="minorHAnsi"/>
          <w:sz w:val="24"/>
        </w:rPr>
      </w:pPr>
      <w:r w:rsidRPr="007A358E">
        <w:rPr>
          <w:rFonts w:asciiTheme="minorHAnsi" w:hAnsiTheme="minorHAnsi" w:cstheme="minorHAnsi"/>
          <w:sz w:val="24"/>
        </w:rPr>
        <w:t xml:space="preserve">To achieve its outcomes and outputs efficiently and effectively, the VCGLR must make decisions that involve some degree of risk. The VCGLR has implemented a </w:t>
      </w:r>
      <w:r w:rsidRPr="007A358E">
        <w:rPr>
          <w:rFonts w:asciiTheme="minorHAnsi" w:hAnsiTheme="minorHAnsi" w:cstheme="minorHAnsi"/>
          <w:b/>
          <w:sz w:val="24"/>
        </w:rPr>
        <w:t>Risk Management Framework</w:t>
      </w:r>
      <w:r w:rsidRPr="007A358E">
        <w:rPr>
          <w:rFonts w:asciiTheme="minorHAnsi" w:hAnsiTheme="minorHAnsi" w:cstheme="minorHAnsi"/>
          <w:sz w:val="24"/>
        </w:rPr>
        <w:t xml:space="preserve"> which sets out the arrangements for designing, implementing, monitoring, reviewing and continuously improving the risk management framework. It is consistent with the applicable Austr</w:t>
      </w:r>
      <w:r w:rsidR="00E269C0">
        <w:rPr>
          <w:rFonts w:asciiTheme="minorHAnsi" w:hAnsiTheme="minorHAnsi" w:cstheme="minorHAnsi"/>
          <w:sz w:val="24"/>
        </w:rPr>
        <w:t xml:space="preserve">alian Standard and is designed </w:t>
      </w:r>
      <w:r w:rsidRPr="007A358E">
        <w:rPr>
          <w:rFonts w:asciiTheme="minorHAnsi" w:hAnsiTheme="minorHAnsi" w:cstheme="minorHAnsi"/>
          <w:sz w:val="24"/>
        </w:rPr>
        <w:t>to meet the mandatory requirements of the Victorian Government Risk Management Framework</w:t>
      </w:r>
      <w:r w:rsidRPr="007A358E">
        <w:rPr>
          <w:rFonts w:asciiTheme="minorHAnsi" w:hAnsiTheme="minorHAnsi" w:cstheme="minorHAnsi"/>
          <w:i/>
          <w:sz w:val="24"/>
        </w:rPr>
        <w:t xml:space="preserve"> </w:t>
      </w:r>
      <w:r w:rsidRPr="007A358E">
        <w:rPr>
          <w:rFonts w:asciiTheme="minorHAnsi" w:hAnsiTheme="minorHAnsi" w:cstheme="minorHAnsi"/>
          <w:sz w:val="24"/>
        </w:rPr>
        <w:t>(VGRMF).</w:t>
      </w:r>
    </w:p>
    <w:p w14:paraId="510A6A77" w14:textId="4E2B9F1F" w:rsidR="00336E14" w:rsidRPr="00B46E17" w:rsidRDefault="00336E14" w:rsidP="002D5E50">
      <w:pPr>
        <w:pStyle w:val="BodyText"/>
        <w:numPr>
          <w:ilvl w:val="0"/>
          <w:numId w:val="29"/>
        </w:numPr>
        <w:spacing w:before="0"/>
        <w:ind w:left="720"/>
        <w:rPr>
          <w:rFonts w:asciiTheme="minorHAnsi" w:hAnsiTheme="minorHAnsi" w:cstheme="minorHAnsi"/>
          <w:sz w:val="24"/>
        </w:rPr>
      </w:pPr>
      <w:r w:rsidRPr="007A358E">
        <w:rPr>
          <w:rFonts w:asciiTheme="minorHAnsi" w:hAnsiTheme="minorHAnsi" w:cstheme="minorHAnsi"/>
          <w:sz w:val="24"/>
          <w:lang w:val="en-GB"/>
        </w:rPr>
        <w:t xml:space="preserve">The annual VCGLR </w:t>
      </w:r>
      <w:r w:rsidRPr="00B46E17">
        <w:rPr>
          <w:rFonts w:asciiTheme="minorHAnsi" w:hAnsiTheme="minorHAnsi" w:cstheme="minorHAnsi"/>
          <w:b/>
          <w:sz w:val="24"/>
          <w:lang w:val="en-GB"/>
        </w:rPr>
        <w:t>Risk Management Plan</w:t>
      </w:r>
      <w:r w:rsidRPr="007A358E">
        <w:rPr>
          <w:rFonts w:asciiTheme="minorHAnsi" w:hAnsiTheme="minorHAnsi" w:cstheme="minorHAnsi"/>
          <w:sz w:val="24"/>
          <w:lang w:val="en-GB"/>
        </w:rPr>
        <w:t xml:space="preserve"> is an organisation-wide plan outlining the road map for the progressive design, implementation and the enhancement of risk management and is evaluated annually</w:t>
      </w:r>
      <w:r w:rsidR="00B46E17">
        <w:rPr>
          <w:rFonts w:asciiTheme="minorHAnsi" w:hAnsiTheme="minorHAnsi" w:cstheme="minorHAnsi"/>
          <w:sz w:val="24"/>
          <w:lang w:val="en-GB"/>
        </w:rPr>
        <w:t>.</w:t>
      </w:r>
    </w:p>
    <w:p w14:paraId="7A843C7A" w14:textId="245BD164" w:rsidR="00B46E17" w:rsidRPr="007A358E" w:rsidRDefault="00B46E17" w:rsidP="002D5E50">
      <w:pPr>
        <w:pStyle w:val="BodyText"/>
        <w:numPr>
          <w:ilvl w:val="0"/>
          <w:numId w:val="29"/>
        </w:numPr>
        <w:spacing w:before="0"/>
        <w:ind w:left="720"/>
        <w:rPr>
          <w:rFonts w:asciiTheme="minorHAnsi" w:hAnsiTheme="minorHAnsi" w:cstheme="minorHAnsi"/>
          <w:sz w:val="24"/>
        </w:rPr>
      </w:pPr>
      <w:r>
        <w:rPr>
          <w:rFonts w:asciiTheme="minorHAnsi" w:hAnsiTheme="minorHAnsi" w:cstheme="minorHAnsi"/>
          <w:sz w:val="24"/>
          <w:lang w:val="en-GB"/>
        </w:rPr>
        <w:t xml:space="preserve">The </w:t>
      </w:r>
      <w:r w:rsidRPr="00B46E17">
        <w:rPr>
          <w:rFonts w:asciiTheme="minorHAnsi" w:hAnsiTheme="minorHAnsi" w:cstheme="minorHAnsi"/>
          <w:b/>
          <w:sz w:val="24"/>
          <w:lang w:val="en-GB"/>
        </w:rPr>
        <w:t>risk appetite</w:t>
      </w:r>
      <w:r>
        <w:rPr>
          <w:rFonts w:asciiTheme="minorHAnsi" w:hAnsiTheme="minorHAnsi" w:cstheme="minorHAnsi"/>
          <w:sz w:val="24"/>
          <w:lang w:val="en-GB"/>
        </w:rPr>
        <w:t xml:space="preserve"> is set annually by the Commission. </w:t>
      </w:r>
    </w:p>
    <w:p w14:paraId="17A33A5D" w14:textId="5B9BC678" w:rsidR="00336E14" w:rsidRDefault="00B46E17" w:rsidP="002D5E50">
      <w:pPr>
        <w:pStyle w:val="BodyText"/>
        <w:numPr>
          <w:ilvl w:val="0"/>
          <w:numId w:val="28"/>
        </w:numPr>
        <w:tabs>
          <w:tab w:val="clear" w:pos="1500"/>
          <w:tab w:val="num" w:pos="720"/>
        </w:tabs>
        <w:spacing w:before="0"/>
        <w:ind w:left="720"/>
        <w:rPr>
          <w:rFonts w:asciiTheme="minorHAnsi" w:hAnsiTheme="minorHAnsi" w:cstheme="minorHAnsi"/>
          <w:sz w:val="24"/>
        </w:rPr>
      </w:pPr>
      <w:r>
        <w:rPr>
          <w:rFonts w:asciiTheme="minorHAnsi" w:hAnsiTheme="minorHAnsi" w:cstheme="minorHAnsi"/>
          <w:sz w:val="24"/>
        </w:rPr>
        <w:t>R</w:t>
      </w:r>
      <w:r w:rsidR="00336E14" w:rsidRPr="007A358E">
        <w:rPr>
          <w:rFonts w:asciiTheme="minorHAnsi" w:hAnsiTheme="minorHAnsi" w:cstheme="minorHAnsi"/>
          <w:sz w:val="24"/>
        </w:rPr>
        <w:t xml:space="preserve">egular strategic and operational </w:t>
      </w:r>
      <w:r w:rsidR="00336E14" w:rsidRPr="00B46E17">
        <w:rPr>
          <w:rFonts w:asciiTheme="minorHAnsi" w:hAnsiTheme="minorHAnsi" w:cstheme="minorHAnsi"/>
          <w:b/>
          <w:sz w:val="24"/>
        </w:rPr>
        <w:t xml:space="preserve">risk assessment </w:t>
      </w:r>
      <w:r>
        <w:rPr>
          <w:rFonts w:asciiTheme="minorHAnsi" w:hAnsiTheme="minorHAnsi" w:cstheme="minorHAnsi"/>
          <w:sz w:val="24"/>
        </w:rPr>
        <w:t>and reporting is conducted.</w:t>
      </w:r>
    </w:p>
    <w:p w14:paraId="0219D558" w14:textId="75D54F18" w:rsidR="00B46E17" w:rsidRDefault="00B46E17" w:rsidP="002D5E50">
      <w:pPr>
        <w:pStyle w:val="BodyText"/>
        <w:numPr>
          <w:ilvl w:val="0"/>
          <w:numId w:val="28"/>
        </w:numPr>
        <w:tabs>
          <w:tab w:val="clear" w:pos="1500"/>
          <w:tab w:val="num" w:pos="720"/>
        </w:tabs>
        <w:spacing w:before="0"/>
        <w:ind w:left="720"/>
        <w:rPr>
          <w:rFonts w:asciiTheme="minorHAnsi" w:hAnsiTheme="minorHAnsi" w:cstheme="minorHAnsi"/>
          <w:sz w:val="24"/>
        </w:rPr>
      </w:pPr>
      <w:r>
        <w:rPr>
          <w:rFonts w:asciiTheme="minorHAnsi" w:hAnsiTheme="minorHAnsi" w:cstheme="minorHAnsi"/>
          <w:sz w:val="24"/>
        </w:rPr>
        <w:t xml:space="preserve">The </w:t>
      </w:r>
      <w:r w:rsidRPr="00B46E17">
        <w:rPr>
          <w:rFonts w:asciiTheme="minorHAnsi" w:hAnsiTheme="minorHAnsi" w:cstheme="minorHAnsi"/>
          <w:b/>
          <w:sz w:val="24"/>
        </w:rPr>
        <w:t>risk culture plan</w:t>
      </w:r>
      <w:r>
        <w:rPr>
          <w:rFonts w:asciiTheme="minorHAnsi" w:hAnsiTheme="minorHAnsi" w:cstheme="minorHAnsi"/>
          <w:sz w:val="24"/>
        </w:rPr>
        <w:t xml:space="preserve"> supports the development of a positive risk culture.</w:t>
      </w:r>
    </w:p>
    <w:p w14:paraId="3328EC97" w14:textId="42CA1DE7" w:rsidR="00B46E17" w:rsidRPr="007A358E" w:rsidRDefault="00B46E17" w:rsidP="002D5E50">
      <w:pPr>
        <w:pStyle w:val="BodyText"/>
        <w:numPr>
          <w:ilvl w:val="0"/>
          <w:numId w:val="28"/>
        </w:numPr>
        <w:tabs>
          <w:tab w:val="clear" w:pos="1500"/>
          <w:tab w:val="num" w:pos="720"/>
        </w:tabs>
        <w:spacing w:before="0"/>
        <w:ind w:left="720"/>
        <w:rPr>
          <w:rFonts w:asciiTheme="minorHAnsi" w:hAnsiTheme="minorHAnsi" w:cstheme="minorHAnsi"/>
          <w:sz w:val="24"/>
        </w:rPr>
      </w:pPr>
      <w:r>
        <w:rPr>
          <w:rFonts w:asciiTheme="minorHAnsi" w:hAnsiTheme="minorHAnsi" w:cstheme="minorHAnsi"/>
          <w:sz w:val="24"/>
        </w:rPr>
        <w:t xml:space="preserve">There are mechanisms in place for </w:t>
      </w:r>
      <w:r w:rsidRPr="00B46E17">
        <w:rPr>
          <w:rFonts w:asciiTheme="minorHAnsi" w:hAnsiTheme="minorHAnsi" w:cstheme="minorHAnsi"/>
          <w:b/>
          <w:sz w:val="24"/>
        </w:rPr>
        <w:t>interagency collaboration</w:t>
      </w:r>
      <w:r>
        <w:rPr>
          <w:rFonts w:asciiTheme="minorHAnsi" w:hAnsiTheme="minorHAnsi" w:cstheme="minorHAnsi"/>
          <w:sz w:val="24"/>
        </w:rPr>
        <w:t xml:space="preserve"> on shared risks.</w:t>
      </w:r>
    </w:p>
    <w:p w14:paraId="6C02C12C" w14:textId="5B8FF211" w:rsidR="00336E14" w:rsidRPr="007A358E" w:rsidRDefault="00B46E17" w:rsidP="002D5E50">
      <w:pPr>
        <w:pStyle w:val="BodyText"/>
        <w:numPr>
          <w:ilvl w:val="0"/>
          <w:numId w:val="28"/>
        </w:numPr>
        <w:tabs>
          <w:tab w:val="clear" w:pos="1500"/>
          <w:tab w:val="num" w:pos="720"/>
        </w:tabs>
        <w:spacing w:before="0"/>
        <w:ind w:left="720"/>
        <w:rPr>
          <w:rFonts w:asciiTheme="minorHAnsi" w:hAnsiTheme="minorHAnsi" w:cstheme="minorHAnsi"/>
          <w:sz w:val="24"/>
        </w:rPr>
      </w:pPr>
      <w:r>
        <w:rPr>
          <w:rFonts w:asciiTheme="minorHAnsi" w:hAnsiTheme="minorHAnsi" w:cstheme="minorHAnsi"/>
          <w:b/>
          <w:sz w:val="24"/>
        </w:rPr>
        <w:t>B</w:t>
      </w:r>
      <w:r w:rsidR="00336E14" w:rsidRPr="00B46E17">
        <w:rPr>
          <w:rFonts w:asciiTheme="minorHAnsi" w:hAnsiTheme="minorHAnsi" w:cstheme="minorHAnsi"/>
          <w:b/>
          <w:sz w:val="24"/>
        </w:rPr>
        <w:t>usiness continuity</w:t>
      </w:r>
      <w:r w:rsidRPr="00B46E17">
        <w:rPr>
          <w:rFonts w:asciiTheme="minorHAnsi" w:hAnsiTheme="minorHAnsi" w:cstheme="minorHAnsi"/>
          <w:b/>
          <w:sz w:val="24"/>
        </w:rPr>
        <w:t xml:space="preserve"> plans</w:t>
      </w:r>
      <w:r>
        <w:rPr>
          <w:rFonts w:asciiTheme="minorHAnsi" w:hAnsiTheme="minorHAnsi" w:cstheme="minorHAnsi"/>
          <w:sz w:val="24"/>
        </w:rPr>
        <w:t xml:space="preserve"> including </w:t>
      </w:r>
      <w:r w:rsidR="00336E14" w:rsidRPr="007A358E">
        <w:rPr>
          <w:rFonts w:asciiTheme="minorHAnsi" w:hAnsiTheme="minorHAnsi" w:cstheme="minorHAnsi"/>
          <w:sz w:val="24"/>
        </w:rPr>
        <w:t>disaster recovery and emergency management pla</w:t>
      </w:r>
      <w:r>
        <w:rPr>
          <w:rFonts w:asciiTheme="minorHAnsi" w:hAnsiTheme="minorHAnsi" w:cstheme="minorHAnsi"/>
          <w:sz w:val="24"/>
        </w:rPr>
        <w:t>ns are reviewed and tested annually.</w:t>
      </w:r>
    </w:p>
    <w:p w14:paraId="50C18407" w14:textId="4FD2F4D7" w:rsidR="007A358E" w:rsidRPr="00B46E17" w:rsidRDefault="00B46E17" w:rsidP="00B46E17">
      <w:pPr>
        <w:pStyle w:val="BodyText"/>
        <w:numPr>
          <w:ilvl w:val="0"/>
          <w:numId w:val="28"/>
        </w:numPr>
        <w:tabs>
          <w:tab w:val="clear" w:pos="1500"/>
          <w:tab w:val="num" w:pos="720"/>
        </w:tabs>
        <w:spacing w:before="0"/>
        <w:ind w:left="720"/>
        <w:rPr>
          <w:rFonts w:asciiTheme="minorHAnsi" w:hAnsiTheme="minorHAnsi" w:cstheme="minorHAnsi"/>
          <w:sz w:val="24"/>
        </w:rPr>
      </w:pPr>
      <w:r w:rsidRPr="00B46E17">
        <w:rPr>
          <w:rFonts w:asciiTheme="minorHAnsi" w:hAnsiTheme="minorHAnsi" w:cstheme="minorHAnsi"/>
          <w:b/>
          <w:sz w:val="24"/>
        </w:rPr>
        <w:t>VGRMF Compliance</w:t>
      </w:r>
      <w:r>
        <w:rPr>
          <w:rFonts w:asciiTheme="minorHAnsi" w:hAnsiTheme="minorHAnsi" w:cstheme="minorHAnsi"/>
          <w:sz w:val="24"/>
        </w:rPr>
        <w:t xml:space="preserve"> </w:t>
      </w:r>
      <w:r w:rsidR="00336E14" w:rsidRPr="007A358E">
        <w:rPr>
          <w:rFonts w:asciiTheme="minorHAnsi" w:hAnsiTheme="minorHAnsi" w:cstheme="minorHAnsi"/>
          <w:sz w:val="24"/>
        </w:rPr>
        <w:t>is inherent with Directions Compliance which is attested in the VCGLR Annual Report.</w:t>
      </w:r>
      <w:bookmarkStart w:id="24" w:name="_Toc374629590"/>
      <w:bookmarkStart w:id="25" w:name="_Toc375214811"/>
      <w:r w:rsidR="007A358E">
        <w:br w:type="page"/>
      </w:r>
    </w:p>
    <w:p w14:paraId="2D801A2C" w14:textId="7F49E41F" w:rsidR="00336E14" w:rsidRPr="007A358E" w:rsidRDefault="007A358E" w:rsidP="007A358E">
      <w:pPr>
        <w:pStyle w:val="Heading2"/>
        <w:rPr>
          <w:lang w:val="en-AU"/>
        </w:rPr>
      </w:pPr>
      <w:bookmarkStart w:id="26" w:name="_Toc61436894"/>
      <w:r w:rsidRPr="007A358E">
        <w:rPr>
          <w:lang w:val="en-AU"/>
        </w:rPr>
        <w:lastRenderedPageBreak/>
        <w:t>4.6</w:t>
      </w:r>
      <w:r w:rsidRPr="007A358E">
        <w:rPr>
          <w:lang w:val="en-AU"/>
        </w:rPr>
        <w:tab/>
      </w:r>
      <w:r w:rsidR="00336E14" w:rsidRPr="007A358E">
        <w:rPr>
          <w:lang w:val="en-AU"/>
        </w:rPr>
        <w:t>Embedded compliance and internal controls</w:t>
      </w:r>
      <w:bookmarkEnd w:id="24"/>
      <w:bookmarkEnd w:id="25"/>
      <w:bookmarkEnd w:id="26"/>
    </w:p>
    <w:p w14:paraId="2678CE05" w14:textId="181436FD" w:rsidR="00336E14" w:rsidRPr="007556DD" w:rsidRDefault="00336E14" w:rsidP="00390822">
      <w:pPr>
        <w:pStyle w:val="BodyText"/>
        <w:ind w:left="0"/>
        <w:rPr>
          <w:rFonts w:asciiTheme="minorHAnsi" w:hAnsiTheme="minorHAnsi" w:cstheme="minorHAnsi"/>
          <w:sz w:val="24"/>
        </w:rPr>
      </w:pPr>
      <w:r w:rsidRPr="007556DD">
        <w:rPr>
          <w:rFonts w:asciiTheme="minorHAnsi" w:hAnsiTheme="minorHAnsi" w:cstheme="minorHAnsi"/>
          <w:sz w:val="24"/>
        </w:rPr>
        <w:t>The</w:t>
      </w:r>
      <w:r w:rsidRPr="007556DD">
        <w:rPr>
          <w:rFonts w:asciiTheme="minorHAnsi" w:hAnsiTheme="minorHAnsi" w:cstheme="minorHAnsi"/>
          <w:b/>
          <w:sz w:val="24"/>
        </w:rPr>
        <w:t xml:space="preserve"> VCGLR Legal &amp; Regulatory Compliance Management Framework</w:t>
      </w:r>
      <w:r w:rsidRPr="007556DD">
        <w:rPr>
          <w:rFonts w:asciiTheme="minorHAnsi" w:hAnsiTheme="minorHAnsi" w:cstheme="minorHAnsi"/>
          <w:sz w:val="24"/>
        </w:rPr>
        <w:t xml:space="preserve"> supports the compliance of the VCGLR with its legal and regulatory obligations </w:t>
      </w:r>
      <w:bookmarkStart w:id="27" w:name="_Toc58149989"/>
      <w:r w:rsidRPr="007556DD">
        <w:rPr>
          <w:rFonts w:asciiTheme="minorHAnsi" w:hAnsiTheme="minorHAnsi" w:cstheme="minorHAnsi"/>
          <w:sz w:val="24"/>
          <w:lang w:eastAsia="en-AU"/>
        </w:rPr>
        <w:t xml:space="preserve">to reduce the risk and consequences of compliance failure in the areas of health and safety, governance, </w:t>
      </w:r>
      <w:proofErr w:type="gramStart"/>
      <w:r w:rsidRPr="007556DD">
        <w:rPr>
          <w:rFonts w:asciiTheme="minorHAnsi" w:hAnsiTheme="minorHAnsi" w:cstheme="minorHAnsi"/>
          <w:sz w:val="24"/>
          <w:lang w:eastAsia="en-AU"/>
        </w:rPr>
        <w:t>financial ma</w:t>
      </w:r>
      <w:r w:rsidR="00A55797">
        <w:rPr>
          <w:rFonts w:asciiTheme="minorHAnsi" w:hAnsiTheme="minorHAnsi" w:cstheme="minorHAnsi"/>
          <w:sz w:val="24"/>
          <w:lang w:eastAsia="en-AU"/>
        </w:rPr>
        <w:t>nagement</w:t>
      </w:r>
      <w:proofErr w:type="gramEnd"/>
      <w:r w:rsidR="00A55797">
        <w:rPr>
          <w:rFonts w:asciiTheme="minorHAnsi" w:hAnsiTheme="minorHAnsi" w:cstheme="minorHAnsi"/>
          <w:sz w:val="24"/>
          <w:lang w:eastAsia="en-AU"/>
        </w:rPr>
        <w:t xml:space="preserve">, fraud and corruption </w:t>
      </w:r>
      <w:r w:rsidRPr="007556DD">
        <w:rPr>
          <w:rFonts w:asciiTheme="minorHAnsi" w:hAnsiTheme="minorHAnsi" w:cstheme="minorHAnsi"/>
          <w:sz w:val="24"/>
          <w:lang w:eastAsia="en-AU"/>
        </w:rPr>
        <w:t>and information management</w:t>
      </w:r>
      <w:bookmarkEnd w:id="27"/>
      <w:r w:rsidR="00F16F22">
        <w:rPr>
          <w:rFonts w:asciiTheme="minorHAnsi" w:hAnsiTheme="minorHAnsi" w:cstheme="minorHAnsi"/>
          <w:sz w:val="24"/>
          <w:lang w:eastAsia="en-AU"/>
        </w:rPr>
        <w:t>.</w:t>
      </w:r>
    </w:p>
    <w:p w14:paraId="03846CF6" w14:textId="5C770E02" w:rsidR="00336E14" w:rsidRPr="007556DD" w:rsidRDefault="00336E14" w:rsidP="00F16F22">
      <w:pPr>
        <w:pStyle w:val="BodyText"/>
        <w:numPr>
          <w:ilvl w:val="0"/>
          <w:numId w:val="27"/>
        </w:numPr>
        <w:tabs>
          <w:tab w:val="clear" w:pos="1514"/>
          <w:tab w:val="num" w:pos="659"/>
        </w:tabs>
        <w:spacing w:before="0"/>
        <w:ind w:left="659"/>
        <w:rPr>
          <w:rFonts w:asciiTheme="minorHAnsi" w:hAnsiTheme="minorHAnsi" w:cstheme="minorHAnsi"/>
          <w:sz w:val="24"/>
        </w:rPr>
      </w:pPr>
      <w:r w:rsidRPr="007556DD">
        <w:rPr>
          <w:rFonts w:asciiTheme="minorHAnsi" w:hAnsiTheme="minorHAnsi" w:cstheme="minorHAnsi"/>
          <w:sz w:val="24"/>
        </w:rPr>
        <w:t xml:space="preserve">The </w:t>
      </w:r>
      <w:r w:rsidRPr="00F16F22">
        <w:rPr>
          <w:rFonts w:asciiTheme="minorHAnsi" w:hAnsiTheme="minorHAnsi" w:cstheme="minorHAnsi"/>
          <w:sz w:val="24"/>
        </w:rPr>
        <w:t>VCGLR Control System is</w:t>
      </w:r>
      <w:r w:rsidRPr="007556DD">
        <w:rPr>
          <w:rFonts w:asciiTheme="minorHAnsi" w:hAnsiTheme="minorHAnsi" w:cstheme="minorHAnsi"/>
          <w:sz w:val="24"/>
        </w:rPr>
        <w:t xml:space="preserve"> subject to continuous improvement. The </w:t>
      </w:r>
      <w:proofErr w:type="gramStart"/>
      <w:r w:rsidRPr="007556DD">
        <w:rPr>
          <w:rFonts w:asciiTheme="minorHAnsi" w:hAnsiTheme="minorHAnsi" w:cstheme="minorHAnsi"/>
          <w:sz w:val="24"/>
        </w:rPr>
        <w:t>three year</w:t>
      </w:r>
      <w:proofErr w:type="gramEnd"/>
      <w:r w:rsidRPr="007556DD">
        <w:rPr>
          <w:rFonts w:asciiTheme="minorHAnsi" w:hAnsiTheme="minorHAnsi" w:cstheme="minorHAnsi"/>
          <w:sz w:val="24"/>
        </w:rPr>
        <w:t xml:space="preserve"> </w:t>
      </w:r>
      <w:r w:rsidRPr="007556DD">
        <w:rPr>
          <w:rFonts w:asciiTheme="minorHAnsi" w:hAnsiTheme="minorHAnsi" w:cstheme="minorHAnsi"/>
          <w:b/>
          <w:sz w:val="24"/>
        </w:rPr>
        <w:t xml:space="preserve">Strategic Internal Audit Plan </w:t>
      </w:r>
      <w:r w:rsidR="00F16F22">
        <w:rPr>
          <w:rFonts w:asciiTheme="minorHAnsi" w:hAnsiTheme="minorHAnsi" w:cstheme="minorHAnsi"/>
          <w:sz w:val="24"/>
        </w:rPr>
        <w:t>focusses</w:t>
      </w:r>
      <w:r w:rsidRPr="007556DD">
        <w:rPr>
          <w:rFonts w:asciiTheme="minorHAnsi" w:hAnsiTheme="minorHAnsi" w:cstheme="minorHAnsi"/>
          <w:sz w:val="24"/>
        </w:rPr>
        <w:t xml:space="preserve"> on those control systems considered higher risk and the core business processes where VCGLR is seeking to improve the internal controls and make processes more efficient.</w:t>
      </w:r>
    </w:p>
    <w:p w14:paraId="31D76A18" w14:textId="1D16C31F" w:rsidR="00336E14" w:rsidRPr="007556DD" w:rsidRDefault="00336E14" w:rsidP="00F16F22">
      <w:pPr>
        <w:pStyle w:val="BodyText"/>
        <w:numPr>
          <w:ilvl w:val="0"/>
          <w:numId w:val="27"/>
        </w:numPr>
        <w:tabs>
          <w:tab w:val="clear" w:pos="1514"/>
          <w:tab w:val="num" w:pos="659"/>
        </w:tabs>
        <w:spacing w:before="0"/>
        <w:ind w:left="659"/>
        <w:rPr>
          <w:rFonts w:asciiTheme="minorHAnsi" w:hAnsiTheme="minorHAnsi" w:cstheme="minorHAnsi"/>
          <w:sz w:val="24"/>
          <w:lang w:eastAsia="en-AU"/>
        </w:rPr>
      </w:pPr>
      <w:r w:rsidRPr="00F16F22">
        <w:rPr>
          <w:rFonts w:asciiTheme="minorHAnsi" w:hAnsiTheme="minorHAnsi" w:cstheme="minorHAnsi"/>
          <w:b/>
          <w:sz w:val="24"/>
        </w:rPr>
        <w:t>The</w:t>
      </w:r>
      <w:r w:rsidRPr="007556DD">
        <w:rPr>
          <w:rFonts w:asciiTheme="minorHAnsi" w:hAnsiTheme="minorHAnsi" w:cstheme="minorHAnsi"/>
          <w:sz w:val="24"/>
        </w:rPr>
        <w:t xml:space="preserve"> </w:t>
      </w:r>
      <w:r w:rsidRPr="007556DD">
        <w:rPr>
          <w:rFonts w:asciiTheme="minorHAnsi" w:hAnsiTheme="minorHAnsi" w:cstheme="minorHAnsi"/>
          <w:b/>
          <w:sz w:val="24"/>
        </w:rPr>
        <w:t xml:space="preserve">VCGLR </w:t>
      </w:r>
      <w:proofErr w:type="gramStart"/>
      <w:r w:rsidRPr="007556DD">
        <w:rPr>
          <w:rFonts w:asciiTheme="minorHAnsi" w:hAnsiTheme="minorHAnsi" w:cstheme="minorHAnsi"/>
          <w:b/>
          <w:sz w:val="24"/>
        </w:rPr>
        <w:t>Financial Management</w:t>
      </w:r>
      <w:proofErr w:type="gramEnd"/>
      <w:r w:rsidRPr="007556DD">
        <w:rPr>
          <w:rFonts w:asciiTheme="minorHAnsi" w:hAnsiTheme="minorHAnsi" w:cstheme="minorHAnsi"/>
          <w:b/>
          <w:sz w:val="24"/>
        </w:rPr>
        <w:t xml:space="preserve"> Framework</w:t>
      </w:r>
      <w:r w:rsidRPr="007556DD">
        <w:rPr>
          <w:rFonts w:asciiTheme="minorHAnsi" w:hAnsiTheme="minorHAnsi" w:cstheme="minorHAnsi"/>
          <w:sz w:val="24"/>
        </w:rPr>
        <w:t xml:space="preserve"> establishes a system of governance and assurance within the VCGLR to ensure the quality and adequacy of financial management, </w:t>
      </w:r>
      <w:r w:rsidR="00231810">
        <w:rPr>
          <w:rFonts w:asciiTheme="minorHAnsi" w:hAnsiTheme="minorHAnsi" w:cstheme="minorHAnsi"/>
          <w:sz w:val="24"/>
        </w:rPr>
        <w:t xml:space="preserve">performance and sustainability. It is consistent with the 2018 Directions of the </w:t>
      </w:r>
      <w:proofErr w:type="gramStart"/>
      <w:r w:rsidR="00231810" w:rsidRPr="00231810">
        <w:rPr>
          <w:rFonts w:asciiTheme="minorHAnsi" w:hAnsiTheme="minorHAnsi" w:cstheme="minorHAnsi"/>
          <w:i/>
          <w:sz w:val="24"/>
        </w:rPr>
        <w:t>Financial Management</w:t>
      </w:r>
      <w:proofErr w:type="gramEnd"/>
      <w:r w:rsidR="00231810" w:rsidRPr="00231810">
        <w:rPr>
          <w:rFonts w:asciiTheme="minorHAnsi" w:hAnsiTheme="minorHAnsi" w:cstheme="minorHAnsi"/>
          <w:i/>
          <w:sz w:val="24"/>
        </w:rPr>
        <w:t xml:space="preserve"> Act 1994.</w:t>
      </w:r>
      <w:r w:rsidR="00231810">
        <w:rPr>
          <w:rFonts w:asciiTheme="minorHAnsi" w:hAnsiTheme="minorHAnsi" w:cstheme="minorHAnsi"/>
          <w:sz w:val="24"/>
        </w:rPr>
        <w:t xml:space="preserve"> </w:t>
      </w:r>
      <w:proofErr w:type="gramStart"/>
      <w:r w:rsidR="00231810">
        <w:rPr>
          <w:rFonts w:asciiTheme="minorHAnsi" w:hAnsiTheme="minorHAnsi" w:cstheme="minorHAnsi"/>
          <w:sz w:val="24"/>
          <w:lang w:eastAsia="en-AU"/>
        </w:rPr>
        <w:t>F</w:t>
      </w:r>
      <w:r w:rsidR="00231810" w:rsidRPr="007556DD">
        <w:rPr>
          <w:rFonts w:asciiTheme="minorHAnsi" w:hAnsiTheme="minorHAnsi" w:cstheme="minorHAnsi"/>
          <w:sz w:val="24"/>
          <w:lang w:eastAsia="en-AU"/>
        </w:rPr>
        <w:t>inancial management</w:t>
      </w:r>
      <w:proofErr w:type="gramEnd"/>
      <w:r w:rsidR="00231810" w:rsidRPr="007556DD">
        <w:rPr>
          <w:rFonts w:asciiTheme="minorHAnsi" w:hAnsiTheme="minorHAnsi" w:cstheme="minorHAnsi"/>
          <w:sz w:val="24"/>
          <w:lang w:eastAsia="en-AU"/>
        </w:rPr>
        <w:t xml:space="preserve"> roles and resp</w:t>
      </w:r>
      <w:r w:rsidR="00231810">
        <w:rPr>
          <w:rFonts w:asciiTheme="minorHAnsi" w:hAnsiTheme="minorHAnsi" w:cstheme="minorHAnsi"/>
          <w:sz w:val="24"/>
          <w:lang w:eastAsia="en-AU"/>
        </w:rPr>
        <w:t xml:space="preserve">onsibilities and the governance structure are defined. </w:t>
      </w:r>
      <w:r w:rsidR="00231810">
        <w:rPr>
          <w:rFonts w:asciiTheme="minorHAnsi" w:hAnsiTheme="minorHAnsi" w:cstheme="minorHAnsi"/>
          <w:sz w:val="24"/>
        </w:rPr>
        <w:t>P</w:t>
      </w:r>
      <w:r w:rsidRPr="007556DD">
        <w:rPr>
          <w:rFonts w:asciiTheme="minorHAnsi" w:hAnsiTheme="minorHAnsi" w:cstheme="minorHAnsi"/>
          <w:sz w:val="24"/>
        </w:rPr>
        <w:t>olicies and procedures in relation to financial administration and management comply with relevant legislation and regulation, professional accounting pronouncements, government policy and standard accounting practice</w:t>
      </w:r>
      <w:r w:rsidR="00231810">
        <w:rPr>
          <w:rFonts w:asciiTheme="minorHAnsi" w:hAnsiTheme="minorHAnsi" w:cstheme="minorHAnsi"/>
          <w:sz w:val="24"/>
        </w:rPr>
        <w:t xml:space="preserve">. The </w:t>
      </w:r>
      <w:proofErr w:type="gramStart"/>
      <w:r w:rsidR="00F16F22">
        <w:rPr>
          <w:rFonts w:asciiTheme="minorHAnsi" w:hAnsiTheme="minorHAnsi" w:cstheme="minorHAnsi"/>
          <w:sz w:val="24"/>
        </w:rPr>
        <w:t>Financial Management</w:t>
      </w:r>
      <w:proofErr w:type="gramEnd"/>
      <w:r w:rsidR="00F16F22">
        <w:rPr>
          <w:rFonts w:asciiTheme="minorHAnsi" w:hAnsiTheme="minorHAnsi" w:cstheme="minorHAnsi"/>
          <w:sz w:val="24"/>
        </w:rPr>
        <w:t xml:space="preserve"> Plan </w:t>
      </w:r>
      <w:r w:rsidRPr="007556DD">
        <w:rPr>
          <w:rFonts w:asciiTheme="minorHAnsi" w:hAnsiTheme="minorHAnsi" w:cstheme="minorHAnsi"/>
          <w:sz w:val="24"/>
        </w:rPr>
        <w:t>ensure</w:t>
      </w:r>
      <w:r w:rsidR="00F16F22">
        <w:rPr>
          <w:rFonts w:asciiTheme="minorHAnsi" w:hAnsiTheme="minorHAnsi" w:cstheme="minorHAnsi"/>
          <w:sz w:val="24"/>
        </w:rPr>
        <w:t>s</w:t>
      </w:r>
      <w:r w:rsidR="00231810">
        <w:rPr>
          <w:rFonts w:asciiTheme="minorHAnsi" w:hAnsiTheme="minorHAnsi" w:cstheme="minorHAnsi"/>
          <w:sz w:val="24"/>
        </w:rPr>
        <w:t xml:space="preserve"> compliance with the Directions</w:t>
      </w:r>
      <w:r w:rsidR="00F16F22">
        <w:rPr>
          <w:rFonts w:asciiTheme="minorHAnsi" w:hAnsiTheme="minorHAnsi" w:cstheme="minorHAnsi"/>
          <w:sz w:val="24"/>
        </w:rPr>
        <w:t xml:space="preserve">. </w:t>
      </w:r>
      <w:r w:rsidR="00231810">
        <w:rPr>
          <w:rFonts w:asciiTheme="minorHAnsi" w:hAnsiTheme="minorHAnsi" w:cstheme="minorHAnsi"/>
          <w:sz w:val="24"/>
        </w:rPr>
        <w:t>The</w:t>
      </w:r>
      <w:r w:rsidRPr="007556DD">
        <w:rPr>
          <w:rFonts w:asciiTheme="minorHAnsi" w:hAnsiTheme="minorHAnsi" w:cstheme="minorHAnsi"/>
          <w:sz w:val="24"/>
        </w:rPr>
        <w:t xml:space="preserve"> financial statements </w:t>
      </w:r>
      <w:r w:rsidR="00231810">
        <w:rPr>
          <w:rFonts w:asciiTheme="minorHAnsi" w:hAnsiTheme="minorHAnsi" w:cstheme="minorHAnsi"/>
          <w:sz w:val="24"/>
        </w:rPr>
        <w:t xml:space="preserve">are </w:t>
      </w:r>
      <w:r w:rsidRPr="007556DD">
        <w:rPr>
          <w:rFonts w:asciiTheme="minorHAnsi" w:hAnsiTheme="minorHAnsi" w:cstheme="minorHAnsi"/>
          <w:sz w:val="24"/>
        </w:rPr>
        <w:t>audited by VAGO</w:t>
      </w:r>
      <w:r w:rsidR="00231810">
        <w:rPr>
          <w:rFonts w:asciiTheme="minorHAnsi" w:hAnsiTheme="minorHAnsi" w:cstheme="minorHAnsi"/>
          <w:sz w:val="24"/>
        </w:rPr>
        <w:t>.</w:t>
      </w:r>
      <w:r w:rsidR="00F16F22">
        <w:rPr>
          <w:rFonts w:asciiTheme="minorHAnsi" w:hAnsiTheme="minorHAnsi" w:cstheme="minorHAnsi"/>
          <w:sz w:val="24"/>
        </w:rPr>
        <w:t xml:space="preserve"> </w:t>
      </w:r>
      <w:r w:rsidR="00231810">
        <w:rPr>
          <w:rFonts w:asciiTheme="minorHAnsi" w:hAnsiTheme="minorHAnsi" w:cstheme="minorHAnsi"/>
          <w:sz w:val="24"/>
        </w:rPr>
        <w:t>A</w:t>
      </w:r>
      <w:r w:rsidRPr="007556DD">
        <w:rPr>
          <w:rFonts w:asciiTheme="minorHAnsi" w:hAnsiTheme="minorHAnsi" w:cstheme="minorHAnsi"/>
          <w:sz w:val="24"/>
        </w:rPr>
        <w:t xml:space="preserve">n internal assurance process </w:t>
      </w:r>
      <w:r w:rsidR="00231810">
        <w:rPr>
          <w:rFonts w:asciiTheme="minorHAnsi" w:hAnsiTheme="minorHAnsi" w:cstheme="minorHAnsi"/>
          <w:sz w:val="24"/>
        </w:rPr>
        <w:t xml:space="preserve">with </w:t>
      </w:r>
      <w:r w:rsidRPr="007556DD">
        <w:rPr>
          <w:rFonts w:asciiTheme="minorHAnsi" w:hAnsiTheme="minorHAnsi" w:cstheme="minorHAnsi"/>
          <w:sz w:val="24"/>
        </w:rPr>
        <w:t xml:space="preserve">respect to financial statements, budget and financial performance management and </w:t>
      </w:r>
      <w:proofErr w:type="gramStart"/>
      <w:r w:rsidRPr="007556DD">
        <w:rPr>
          <w:rFonts w:asciiTheme="minorHAnsi" w:hAnsiTheme="minorHAnsi" w:cstheme="minorHAnsi"/>
          <w:sz w:val="24"/>
        </w:rPr>
        <w:t>financial management</w:t>
      </w:r>
      <w:proofErr w:type="gramEnd"/>
      <w:r w:rsidRPr="007556DD">
        <w:rPr>
          <w:rFonts w:asciiTheme="minorHAnsi" w:hAnsiTheme="minorHAnsi" w:cstheme="minorHAnsi"/>
          <w:sz w:val="24"/>
        </w:rPr>
        <w:t xml:space="preserve"> compliance</w:t>
      </w:r>
      <w:r w:rsidR="00231810">
        <w:rPr>
          <w:rFonts w:asciiTheme="minorHAnsi" w:hAnsiTheme="minorHAnsi" w:cstheme="minorHAnsi"/>
          <w:sz w:val="24"/>
        </w:rPr>
        <w:t xml:space="preserve"> is conducted annually </w:t>
      </w:r>
      <w:r w:rsidR="00231810" w:rsidRPr="007556DD">
        <w:rPr>
          <w:rFonts w:asciiTheme="minorHAnsi" w:hAnsiTheme="minorHAnsi" w:cstheme="minorHAnsi"/>
          <w:sz w:val="24"/>
        </w:rPr>
        <w:t>with</w:t>
      </w:r>
      <w:r w:rsidR="00231810">
        <w:rPr>
          <w:rFonts w:asciiTheme="minorHAnsi" w:hAnsiTheme="minorHAnsi" w:cstheme="minorHAnsi"/>
          <w:sz w:val="24"/>
        </w:rPr>
        <w:t xml:space="preserve"> the Audit and Risk Management C</w:t>
      </w:r>
      <w:r w:rsidR="00F16F22">
        <w:rPr>
          <w:rFonts w:asciiTheme="minorHAnsi" w:hAnsiTheme="minorHAnsi" w:cstheme="minorHAnsi"/>
          <w:sz w:val="24"/>
        </w:rPr>
        <w:t xml:space="preserve">ommittee. </w:t>
      </w:r>
      <w:r w:rsidR="00231810">
        <w:rPr>
          <w:rFonts w:asciiTheme="minorHAnsi" w:hAnsiTheme="minorHAnsi" w:cstheme="minorHAnsi"/>
          <w:sz w:val="24"/>
        </w:rPr>
        <w:t xml:space="preserve">The </w:t>
      </w:r>
      <w:r w:rsidRPr="007556DD">
        <w:rPr>
          <w:rFonts w:asciiTheme="minorHAnsi" w:hAnsiTheme="minorHAnsi" w:cstheme="minorHAnsi"/>
          <w:sz w:val="24"/>
        </w:rPr>
        <w:t xml:space="preserve">Annual Report </w:t>
      </w:r>
      <w:r w:rsidR="00231810">
        <w:rPr>
          <w:rFonts w:asciiTheme="minorHAnsi" w:hAnsiTheme="minorHAnsi" w:cstheme="minorHAnsi"/>
          <w:sz w:val="24"/>
        </w:rPr>
        <w:t xml:space="preserve">is tabled in Parliament each year </w:t>
      </w:r>
      <w:r w:rsidR="00F16F22">
        <w:rPr>
          <w:rFonts w:asciiTheme="minorHAnsi" w:hAnsiTheme="minorHAnsi" w:cstheme="minorHAnsi"/>
          <w:sz w:val="24"/>
        </w:rPr>
        <w:t>and</w:t>
      </w:r>
      <w:r w:rsidRPr="007556DD">
        <w:rPr>
          <w:rFonts w:asciiTheme="minorHAnsi" w:hAnsiTheme="minorHAnsi" w:cstheme="minorHAnsi"/>
          <w:sz w:val="24"/>
        </w:rPr>
        <w:t xml:space="preserve"> VCGLR’s operations and financial statements </w:t>
      </w:r>
      <w:r w:rsidR="00F16F22">
        <w:rPr>
          <w:rFonts w:asciiTheme="minorHAnsi" w:hAnsiTheme="minorHAnsi" w:cstheme="minorHAnsi"/>
          <w:sz w:val="24"/>
        </w:rPr>
        <w:t xml:space="preserve">are prepared </w:t>
      </w:r>
      <w:r w:rsidRPr="007556DD">
        <w:rPr>
          <w:rFonts w:asciiTheme="minorHAnsi" w:hAnsiTheme="minorHAnsi" w:cstheme="minorHAnsi"/>
          <w:sz w:val="24"/>
        </w:rPr>
        <w:t>according to the Department of Treasury and Finan</w:t>
      </w:r>
      <w:r w:rsidR="00F16F22">
        <w:rPr>
          <w:rFonts w:asciiTheme="minorHAnsi" w:hAnsiTheme="minorHAnsi" w:cstheme="minorHAnsi"/>
          <w:sz w:val="24"/>
        </w:rPr>
        <w:t>ce (DTF) Model Financial Report.</w:t>
      </w:r>
    </w:p>
    <w:p w14:paraId="300DDCF5" w14:textId="77777777" w:rsidR="00336E14" w:rsidRPr="007556DD" w:rsidRDefault="00336E14" w:rsidP="00F16F22">
      <w:pPr>
        <w:pStyle w:val="BodyText"/>
        <w:numPr>
          <w:ilvl w:val="0"/>
          <w:numId w:val="27"/>
        </w:numPr>
        <w:tabs>
          <w:tab w:val="clear" w:pos="1514"/>
          <w:tab w:val="num" w:pos="659"/>
        </w:tabs>
        <w:spacing w:before="0"/>
        <w:ind w:left="659"/>
        <w:rPr>
          <w:rFonts w:asciiTheme="minorHAnsi" w:hAnsiTheme="minorHAnsi" w:cstheme="minorHAnsi"/>
          <w:sz w:val="24"/>
        </w:rPr>
      </w:pPr>
      <w:r w:rsidRPr="007556DD">
        <w:rPr>
          <w:rFonts w:asciiTheme="minorHAnsi" w:hAnsiTheme="minorHAnsi" w:cstheme="minorHAnsi"/>
          <w:sz w:val="24"/>
        </w:rPr>
        <w:t>The</w:t>
      </w:r>
      <w:r w:rsidRPr="007556DD">
        <w:rPr>
          <w:rFonts w:asciiTheme="minorHAnsi" w:hAnsiTheme="minorHAnsi" w:cstheme="minorHAnsi"/>
          <w:b/>
          <w:sz w:val="24"/>
        </w:rPr>
        <w:t xml:space="preserve"> VCGLR Procurement and Contract Management Framework </w:t>
      </w:r>
      <w:r w:rsidRPr="007556DD">
        <w:rPr>
          <w:rFonts w:asciiTheme="minorHAnsi" w:hAnsiTheme="minorHAnsi" w:cstheme="minorHAnsi"/>
          <w:sz w:val="24"/>
        </w:rPr>
        <w:t xml:space="preserve">is based on </w:t>
      </w:r>
      <w:proofErr w:type="gramStart"/>
      <w:r w:rsidRPr="007556DD">
        <w:rPr>
          <w:rFonts w:asciiTheme="minorHAnsi" w:hAnsiTheme="minorHAnsi" w:cstheme="minorHAnsi"/>
          <w:sz w:val="24"/>
        </w:rPr>
        <w:t>high standards</w:t>
      </w:r>
      <w:proofErr w:type="gramEnd"/>
      <w:r w:rsidRPr="007556DD">
        <w:rPr>
          <w:rFonts w:asciiTheme="minorHAnsi" w:hAnsiTheme="minorHAnsi" w:cstheme="minorHAnsi"/>
          <w:sz w:val="24"/>
        </w:rPr>
        <w:t xml:space="preserve"> of probity and is consistent with the Victorian</w:t>
      </w:r>
      <w:r w:rsidRPr="007556DD">
        <w:rPr>
          <w:rFonts w:asciiTheme="minorHAnsi" w:hAnsiTheme="minorHAnsi" w:cstheme="minorHAnsi"/>
          <w:b/>
          <w:sz w:val="24"/>
        </w:rPr>
        <w:t xml:space="preserve"> </w:t>
      </w:r>
      <w:r w:rsidRPr="007556DD">
        <w:rPr>
          <w:rFonts w:asciiTheme="minorHAnsi" w:hAnsiTheme="minorHAnsi" w:cstheme="minorHAnsi"/>
          <w:sz w:val="24"/>
        </w:rPr>
        <w:t>Government Purchasing Board (VGPB) principles and guidelines.</w:t>
      </w:r>
    </w:p>
    <w:p w14:paraId="1EE26C5C" w14:textId="30DA0157" w:rsidR="007556DD" w:rsidRDefault="00336E14" w:rsidP="00F16F22">
      <w:pPr>
        <w:pStyle w:val="BodyText"/>
        <w:numPr>
          <w:ilvl w:val="0"/>
          <w:numId w:val="27"/>
        </w:numPr>
        <w:tabs>
          <w:tab w:val="clear" w:pos="1514"/>
          <w:tab w:val="num" w:pos="659"/>
        </w:tabs>
        <w:spacing w:before="0"/>
        <w:ind w:left="659"/>
        <w:jc w:val="left"/>
        <w:rPr>
          <w:rFonts w:asciiTheme="minorHAnsi" w:hAnsiTheme="minorHAnsi" w:cstheme="minorHAnsi"/>
          <w:sz w:val="24"/>
        </w:rPr>
      </w:pPr>
      <w:r w:rsidRPr="007556DD">
        <w:rPr>
          <w:rFonts w:asciiTheme="minorHAnsi" w:hAnsiTheme="minorHAnsi" w:cstheme="minorHAnsi"/>
          <w:sz w:val="24"/>
        </w:rPr>
        <w:t xml:space="preserve">The </w:t>
      </w:r>
      <w:r w:rsidRPr="007556DD">
        <w:rPr>
          <w:rFonts w:asciiTheme="minorHAnsi" w:hAnsiTheme="minorHAnsi" w:cstheme="minorHAnsi"/>
          <w:b/>
          <w:sz w:val="24"/>
        </w:rPr>
        <w:t>Health &amp; Safety Framework</w:t>
      </w:r>
      <w:r w:rsidRPr="007556DD">
        <w:rPr>
          <w:rFonts w:asciiTheme="minorHAnsi" w:hAnsiTheme="minorHAnsi" w:cstheme="minorHAnsi"/>
          <w:sz w:val="24"/>
        </w:rPr>
        <w:t xml:space="preserve"> </w:t>
      </w:r>
      <w:r w:rsidR="00C73021">
        <w:rPr>
          <w:rFonts w:asciiTheme="minorHAnsi" w:hAnsiTheme="minorHAnsi" w:cstheme="minorHAnsi"/>
          <w:sz w:val="24"/>
        </w:rPr>
        <w:t xml:space="preserve">is compliant with the </w:t>
      </w:r>
      <w:r w:rsidR="00C73021" w:rsidRPr="00C73021">
        <w:rPr>
          <w:rFonts w:asciiTheme="minorHAnsi" w:hAnsiTheme="minorHAnsi" w:cstheme="minorHAnsi"/>
          <w:i/>
          <w:sz w:val="24"/>
        </w:rPr>
        <w:t>Occupational Health and Safety Act 2004.</w:t>
      </w:r>
      <w:r w:rsidR="00C73021">
        <w:rPr>
          <w:rFonts w:asciiTheme="minorHAnsi" w:hAnsiTheme="minorHAnsi" w:cstheme="minorHAnsi"/>
          <w:sz w:val="24"/>
        </w:rPr>
        <w:t xml:space="preserve"> It </w:t>
      </w:r>
      <w:r w:rsidRPr="007556DD">
        <w:rPr>
          <w:rFonts w:asciiTheme="minorHAnsi" w:hAnsiTheme="minorHAnsi" w:cstheme="minorHAnsi"/>
          <w:sz w:val="24"/>
        </w:rPr>
        <w:t>is designed to give the highest level of protection to employees and visitors against risks to their health and safety that is reasonably practicable. The Health and Safety Committee provides oversight. Goals and performance measures are defined and a comprehensive policy framework has been implemented. Risks are assessed, the workpl</w:t>
      </w:r>
      <w:r w:rsidR="00F16F22">
        <w:rPr>
          <w:rFonts w:asciiTheme="minorHAnsi" w:hAnsiTheme="minorHAnsi" w:cstheme="minorHAnsi"/>
          <w:sz w:val="24"/>
        </w:rPr>
        <w:t>ace is inspected and maintained. There is a</w:t>
      </w:r>
      <w:r w:rsidRPr="007556DD">
        <w:rPr>
          <w:rFonts w:asciiTheme="minorHAnsi" w:hAnsiTheme="minorHAnsi" w:cstheme="minorHAnsi"/>
          <w:sz w:val="24"/>
        </w:rPr>
        <w:t xml:space="preserve"> strategic approach to communication and training. There are procedures for and testing of emergency management and a first aid response capability is supported.</w:t>
      </w:r>
    </w:p>
    <w:p w14:paraId="341D94E3" w14:textId="77777777" w:rsidR="007556DD" w:rsidRDefault="007556DD">
      <w:pPr>
        <w:spacing w:after="0"/>
        <w:rPr>
          <w:rFonts w:eastAsia="Times New Roman" w:cstheme="minorHAnsi"/>
          <w:lang w:val="en-AU"/>
        </w:rPr>
      </w:pPr>
      <w:r>
        <w:rPr>
          <w:rFonts w:cstheme="minorHAnsi"/>
        </w:rPr>
        <w:br w:type="page"/>
      </w:r>
    </w:p>
    <w:p w14:paraId="6F63D897" w14:textId="5BF355EB" w:rsidR="00336E14" w:rsidRPr="007A358E" w:rsidRDefault="007A358E" w:rsidP="007A358E">
      <w:pPr>
        <w:pStyle w:val="Heading2"/>
        <w:rPr>
          <w:lang w:val="en-AU"/>
        </w:rPr>
      </w:pPr>
      <w:bookmarkStart w:id="28" w:name="_Toc375214812"/>
      <w:bookmarkStart w:id="29" w:name="_Toc61436895"/>
      <w:r w:rsidRPr="007A358E">
        <w:rPr>
          <w:lang w:val="en-AU"/>
        </w:rPr>
        <w:lastRenderedPageBreak/>
        <w:t>4.7</w:t>
      </w:r>
      <w:r w:rsidRPr="007A358E">
        <w:rPr>
          <w:lang w:val="en-AU"/>
        </w:rPr>
        <w:tab/>
      </w:r>
      <w:r w:rsidR="00336E14" w:rsidRPr="007A358E">
        <w:rPr>
          <w:lang w:val="en-AU"/>
        </w:rPr>
        <w:t>Responsible information management</w:t>
      </w:r>
      <w:bookmarkEnd w:id="28"/>
      <w:bookmarkEnd w:id="29"/>
      <w:r w:rsidR="00336E14" w:rsidRPr="007A358E">
        <w:rPr>
          <w:lang w:val="en-AU"/>
        </w:rPr>
        <w:t xml:space="preserve"> </w:t>
      </w:r>
    </w:p>
    <w:p w14:paraId="12957F4A" w14:textId="18A42355" w:rsidR="00336E14" w:rsidRDefault="00336E14" w:rsidP="00AC27B2">
      <w:pPr>
        <w:pStyle w:val="BodyText"/>
        <w:spacing w:before="0"/>
        <w:ind w:left="0"/>
        <w:rPr>
          <w:rFonts w:asciiTheme="minorHAnsi" w:hAnsiTheme="minorHAnsi" w:cstheme="minorHAnsi"/>
          <w:sz w:val="24"/>
          <w:lang w:val="en-GB"/>
        </w:rPr>
      </w:pPr>
      <w:r w:rsidRPr="00781EB8">
        <w:rPr>
          <w:rFonts w:asciiTheme="minorHAnsi" w:hAnsiTheme="minorHAnsi" w:cstheme="minorHAnsi"/>
          <w:sz w:val="24"/>
          <w:lang w:val="en-GB"/>
        </w:rPr>
        <w:t>To comply with its legal and regulatory compliance requirements for information security protection of the Victorian Protective Data Security Standards</w:t>
      </w:r>
      <w:r w:rsidR="00BB10D2">
        <w:rPr>
          <w:rFonts w:asciiTheme="minorHAnsi" w:hAnsiTheme="minorHAnsi" w:cstheme="minorHAnsi"/>
          <w:sz w:val="24"/>
          <w:lang w:val="en-GB"/>
        </w:rPr>
        <w:t xml:space="preserve"> (VPDSS)</w:t>
      </w:r>
      <w:r w:rsidRPr="00781EB8">
        <w:rPr>
          <w:rFonts w:asciiTheme="minorHAnsi" w:hAnsiTheme="minorHAnsi" w:cstheme="minorHAnsi"/>
          <w:sz w:val="24"/>
          <w:lang w:val="en-GB"/>
        </w:rPr>
        <w:t xml:space="preserve"> under the </w:t>
      </w:r>
      <w:bookmarkStart w:id="30" w:name="_Hlk61438249"/>
      <w:r w:rsidRPr="009A5F2B">
        <w:rPr>
          <w:rFonts w:asciiTheme="minorHAnsi" w:hAnsiTheme="minorHAnsi" w:cstheme="minorHAnsi"/>
          <w:i/>
          <w:sz w:val="24"/>
          <w:lang w:val="en-GB"/>
        </w:rPr>
        <w:t>Privacy and Data Protection Act 2014</w:t>
      </w:r>
      <w:r w:rsidRPr="00781EB8">
        <w:rPr>
          <w:rFonts w:asciiTheme="minorHAnsi" w:hAnsiTheme="minorHAnsi" w:cstheme="minorHAnsi"/>
          <w:sz w:val="24"/>
          <w:lang w:val="en-GB"/>
        </w:rPr>
        <w:t xml:space="preserve"> </w:t>
      </w:r>
      <w:bookmarkEnd w:id="30"/>
      <w:r w:rsidRPr="00781EB8">
        <w:rPr>
          <w:rFonts w:asciiTheme="minorHAnsi" w:hAnsiTheme="minorHAnsi" w:cstheme="minorHAnsi"/>
          <w:sz w:val="24"/>
          <w:lang w:val="en-GB"/>
        </w:rPr>
        <w:t xml:space="preserve">the VCGLR has developed the </w:t>
      </w:r>
      <w:r w:rsidRPr="00BE4794">
        <w:rPr>
          <w:rFonts w:asciiTheme="minorHAnsi" w:hAnsiTheme="minorHAnsi" w:cstheme="minorHAnsi"/>
          <w:b/>
          <w:sz w:val="24"/>
          <w:lang w:val="en-GB"/>
        </w:rPr>
        <w:t>Information</w:t>
      </w:r>
      <w:r w:rsidR="00AC27B2">
        <w:rPr>
          <w:rFonts w:asciiTheme="minorHAnsi" w:hAnsiTheme="minorHAnsi" w:cstheme="minorHAnsi"/>
          <w:b/>
          <w:sz w:val="24"/>
          <w:lang w:val="en-GB"/>
        </w:rPr>
        <w:t xml:space="preserve"> Security Management Framework.</w:t>
      </w:r>
    </w:p>
    <w:p w14:paraId="596CA5EA" w14:textId="77777777" w:rsidR="00A92C3E" w:rsidRDefault="00BE4794" w:rsidP="00AC27B2">
      <w:pPr>
        <w:pStyle w:val="BodyText"/>
        <w:numPr>
          <w:ilvl w:val="0"/>
          <w:numId w:val="21"/>
        </w:numPr>
        <w:spacing w:before="0"/>
        <w:jc w:val="left"/>
        <w:rPr>
          <w:rFonts w:asciiTheme="minorHAnsi" w:hAnsiTheme="minorHAnsi" w:cstheme="minorHAnsi"/>
          <w:sz w:val="24"/>
        </w:rPr>
      </w:pPr>
      <w:r>
        <w:rPr>
          <w:rFonts w:asciiTheme="minorHAnsi" w:hAnsiTheme="minorHAnsi" w:cstheme="minorHAnsi"/>
          <w:sz w:val="24"/>
        </w:rPr>
        <w:t xml:space="preserve">The Risk Management Framework is used to </w:t>
      </w:r>
      <w:r w:rsidR="00336E14" w:rsidRPr="00781EB8">
        <w:rPr>
          <w:rFonts w:asciiTheme="minorHAnsi" w:hAnsiTheme="minorHAnsi" w:cstheme="minorHAnsi"/>
          <w:sz w:val="24"/>
        </w:rPr>
        <w:t xml:space="preserve">conduct </w:t>
      </w:r>
      <w:r w:rsidR="00336E14" w:rsidRPr="00BE4794">
        <w:rPr>
          <w:rFonts w:asciiTheme="minorHAnsi" w:hAnsiTheme="minorHAnsi" w:cstheme="minorHAnsi"/>
          <w:b/>
          <w:sz w:val="24"/>
        </w:rPr>
        <w:t>Se</w:t>
      </w:r>
      <w:r w:rsidR="00A92C3E">
        <w:rPr>
          <w:rFonts w:asciiTheme="minorHAnsi" w:hAnsiTheme="minorHAnsi" w:cstheme="minorHAnsi"/>
          <w:b/>
          <w:sz w:val="24"/>
        </w:rPr>
        <w:t xml:space="preserve">curity Risk Profile Assessments with oversight </w:t>
      </w:r>
      <w:r w:rsidR="00A92C3E" w:rsidRPr="00A92C3E">
        <w:rPr>
          <w:rFonts w:asciiTheme="minorHAnsi" w:hAnsiTheme="minorHAnsi" w:cstheme="minorHAnsi"/>
          <w:sz w:val="24"/>
        </w:rPr>
        <w:t>provided by the Audit and Risk Management Committee.</w:t>
      </w:r>
    </w:p>
    <w:p w14:paraId="5A7C34A7" w14:textId="7094E0EA" w:rsidR="00A92C3E" w:rsidRPr="00781EB8" w:rsidRDefault="00A92C3E" w:rsidP="00AC27B2">
      <w:pPr>
        <w:pStyle w:val="BodyText"/>
        <w:numPr>
          <w:ilvl w:val="0"/>
          <w:numId w:val="21"/>
        </w:numPr>
        <w:spacing w:before="0"/>
        <w:jc w:val="left"/>
        <w:rPr>
          <w:rFonts w:asciiTheme="minorHAnsi" w:hAnsiTheme="minorHAnsi" w:cstheme="minorHAnsi"/>
          <w:sz w:val="24"/>
        </w:rPr>
      </w:pPr>
      <w:r>
        <w:rPr>
          <w:rFonts w:asciiTheme="minorHAnsi" w:hAnsiTheme="minorHAnsi" w:cstheme="minorHAnsi"/>
          <w:sz w:val="24"/>
        </w:rPr>
        <w:t xml:space="preserve">The </w:t>
      </w:r>
      <w:r w:rsidRPr="008B5FEF">
        <w:rPr>
          <w:rFonts w:asciiTheme="minorHAnsi" w:hAnsiTheme="minorHAnsi" w:cstheme="minorHAnsi"/>
          <w:b/>
          <w:sz w:val="24"/>
        </w:rPr>
        <w:t>information assets register</w:t>
      </w:r>
      <w:r>
        <w:rPr>
          <w:rFonts w:asciiTheme="minorHAnsi" w:hAnsiTheme="minorHAnsi" w:cstheme="minorHAnsi"/>
          <w:sz w:val="24"/>
        </w:rPr>
        <w:t xml:space="preserve"> maps and values</w:t>
      </w:r>
      <w:r w:rsidRPr="00781EB8">
        <w:rPr>
          <w:rFonts w:asciiTheme="minorHAnsi" w:hAnsiTheme="minorHAnsi" w:cstheme="minorHAnsi"/>
          <w:sz w:val="24"/>
        </w:rPr>
        <w:t xml:space="preserve"> </w:t>
      </w:r>
      <w:r>
        <w:rPr>
          <w:rFonts w:asciiTheme="minorHAnsi" w:hAnsiTheme="minorHAnsi" w:cstheme="minorHAnsi"/>
          <w:sz w:val="24"/>
        </w:rPr>
        <w:t xml:space="preserve">official information to which </w:t>
      </w:r>
      <w:r w:rsidRPr="00D90A99">
        <w:rPr>
          <w:rFonts w:asciiTheme="minorHAnsi" w:hAnsiTheme="minorHAnsi" w:cstheme="minorHAnsi"/>
          <w:b/>
          <w:sz w:val="24"/>
        </w:rPr>
        <w:t>protective markings</w:t>
      </w:r>
      <w:r>
        <w:rPr>
          <w:rFonts w:asciiTheme="minorHAnsi" w:hAnsiTheme="minorHAnsi" w:cstheme="minorHAnsi"/>
          <w:sz w:val="24"/>
        </w:rPr>
        <w:t xml:space="preserve"> are applied along with secure disposal.</w:t>
      </w:r>
    </w:p>
    <w:p w14:paraId="31E545EF" w14:textId="5EC157FE" w:rsidR="008B5FEF" w:rsidRDefault="00BE4794" w:rsidP="00AC27B2">
      <w:pPr>
        <w:pStyle w:val="BodyText"/>
        <w:numPr>
          <w:ilvl w:val="0"/>
          <w:numId w:val="21"/>
        </w:numPr>
        <w:spacing w:before="0"/>
        <w:jc w:val="left"/>
        <w:rPr>
          <w:rFonts w:asciiTheme="minorHAnsi" w:hAnsiTheme="minorHAnsi" w:cstheme="minorHAnsi"/>
          <w:sz w:val="24"/>
        </w:rPr>
      </w:pPr>
      <w:r>
        <w:rPr>
          <w:rFonts w:asciiTheme="minorHAnsi" w:hAnsiTheme="minorHAnsi" w:cstheme="minorHAnsi"/>
          <w:sz w:val="24"/>
        </w:rPr>
        <w:t xml:space="preserve">The </w:t>
      </w:r>
      <w:r w:rsidR="00336E14" w:rsidRPr="00BE4794">
        <w:rPr>
          <w:rFonts w:asciiTheme="minorHAnsi" w:hAnsiTheme="minorHAnsi" w:cstheme="minorHAnsi"/>
          <w:b/>
          <w:sz w:val="24"/>
        </w:rPr>
        <w:t>acc</w:t>
      </w:r>
      <w:r w:rsidRPr="00BE4794">
        <w:rPr>
          <w:rFonts w:asciiTheme="minorHAnsi" w:hAnsiTheme="minorHAnsi" w:cstheme="minorHAnsi"/>
          <w:b/>
          <w:sz w:val="24"/>
        </w:rPr>
        <w:t>ess management regime</w:t>
      </w:r>
      <w:r>
        <w:rPr>
          <w:rFonts w:asciiTheme="minorHAnsi" w:hAnsiTheme="minorHAnsi" w:cstheme="minorHAnsi"/>
          <w:sz w:val="24"/>
        </w:rPr>
        <w:t xml:space="preserve"> to VCGLR data includes</w:t>
      </w:r>
      <w:r w:rsidR="00336E14" w:rsidRPr="00781EB8">
        <w:rPr>
          <w:rFonts w:asciiTheme="minorHAnsi" w:hAnsiTheme="minorHAnsi" w:cstheme="minorHAnsi"/>
          <w:sz w:val="24"/>
        </w:rPr>
        <w:t xml:space="preserve"> </w:t>
      </w:r>
      <w:r w:rsidR="00974A78">
        <w:rPr>
          <w:rFonts w:asciiTheme="minorHAnsi" w:hAnsiTheme="minorHAnsi" w:cstheme="minorHAnsi"/>
          <w:sz w:val="24"/>
        </w:rPr>
        <w:t xml:space="preserve">physical and logical </w:t>
      </w:r>
      <w:r w:rsidR="00336E14" w:rsidRPr="00781EB8">
        <w:rPr>
          <w:rFonts w:asciiTheme="minorHAnsi" w:hAnsiTheme="minorHAnsi" w:cstheme="minorHAnsi"/>
          <w:sz w:val="24"/>
        </w:rPr>
        <w:t>access</w:t>
      </w:r>
      <w:r w:rsidR="00974A78">
        <w:rPr>
          <w:rFonts w:asciiTheme="minorHAnsi" w:hAnsiTheme="minorHAnsi" w:cstheme="minorHAnsi"/>
          <w:sz w:val="24"/>
        </w:rPr>
        <w:t xml:space="preserve"> arrangements</w:t>
      </w:r>
      <w:r w:rsidR="00A92C3E">
        <w:rPr>
          <w:rFonts w:asciiTheme="minorHAnsi" w:hAnsiTheme="minorHAnsi" w:cstheme="minorHAnsi"/>
          <w:sz w:val="24"/>
        </w:rPr>
        <w:t xml:space="preserve">, password controls, </w:t>
      </w:r>
      <w:r w:rsidR="00336E14" w:rsidRPr="00781EB8">
        <w:rPr>
          <w:rFonts w:asciiTheme="minorHAnsi" w:hAnsiTheme="minorHAnsi" w:cstheme="minorHAnsi"/>
          <w:sz w:val="24"/>
        </w:rPr>
        <w:t>on and off boarding procedures</w:t>
      </w:r>
      <w:r w:rsidR="00A92C3E">
        <w:rPr>
          <w:rFonts w:asciiTheme="minorHAnsi" w:hAnsiTheme="minorHAnsi" w:cstheme="minorHAnsi"/>
          <w:sz w:val="24"/>
        </w:rPr>
        <w:t xml:space="preserve"> and access rights review</w:t>
      </w:r>
      <w:r w:rsidR="00BB10D2">
        <w:rPr>
          <w:rFonts w:asciiTheme="minorHAnsi" w:hAnsiTheme="minorHAnsi" w:cstheme="minorHAnsi"/>
          <w:sz w:val="24"/>
        </w:rPr>
        <w:t>s</w:t>
      </w:r>
      <w:r w:rsidR="00A92C3E">
        <w:rPr>
          <w:rFonts w:asciiTheme="minorHAnsi" w:hAnsiTheme="minorHAnsi" w:cstheme="minorHAnsi"/>
          <w:sz w:val="24"/>
        </w:rPr>
        <w:t>.</w:t>
      </w:r>
    </w:p>
    <w:p w14:paraId="3B97F457" w14:textId="627A4F27" w:rsidR="008B5FEF" w:rsidRDefault="008B5FEF" w:rsidP="00AC27B2">
      <w:pPr>
        <w:pStyle w:val="BodyText"/>
        <w:numPr>
          <w:ilvl w:val="0"/>
          <w:numId w:val="21"/>
        </w:numPr>
        <w:spacing w:before="0"/>
        <w:jc w:val="left"/>
        <w:rPr>
          <w:rFonts w:asciiTheme="minorHAnsi" w:hAnsiTheme="minorHAnsi" w:cstheme="minorHAnsi"/>
          <w:sz w:val="24"/>
        </w:rPr>
      </w:pPr>
      <w:r w:rsidRPr="008B5FEF">
        <w:rPr>
          <w:rFonts w:asciiTheme="minorHAnsi" w:hAnsiTheme="minorHAnsi" w:cstheme="minorHAnsi"/>
          <w:b/>
          <w:sz w:val="24"/>
        </w:rPr>
        <w:t>S</w:t>
      </w:r>
      <w:r w:rsidR="00336E14" w:rsidRPr="008B5FEF">
        <w:rPr>
          <w:rFonts w:asciiTheme="minorHAnsi" w:hAnsiTheme="minorHAnsi" w:cstheme="minorHAnsi"/>
          <w:b/>
          <w:sz w:val="24"/>
        </w:rPr>
        <w:t>ecurity obligations</w:t>
      </w:r>
      <w:r w:rsidR="00336E14" w:rsidRPr="008B5FEF">
        <w:rPr>
          <w:rFonts w:asciiTheme="minorHAnsi" w:hAnsiTheme="minorHAnsi" w:cstheme="minorHAnsi"/>
          <w:sz w:val="24"/>
        </w:rPr>
        <w:t xml:space="preserve"> </w:t>
      </w:r>
      <w:r w:rsidR="00BE4794" w:rsidRPr="008B5FEF">
        <w:rPr>
          <w:rFonts w:asciiTheme="minorHAnsi" w:hAnsiTheme="minorHAnsi" w:cstheme="minorHAnsi"/>
          <w:sz w:val="24"/>
        </w:rPr>
        <w:t xml:space="preserve">are </w:t>
      </w:r>
      <w:r w:rsidR="00336E14" w:rsidRPr="008B5FEF">
        <w:rPr>
          <w:rFonts w:asciiTheme="minorHAnsi" w:hAnsiTheme="minorHAnsi" w:cstheme="minorHAnsi"/>
          <w:sz w:val="24"/>
        </w:rPr>
        <w:t xml:space="preserve">supported by </w:t>
      </w:r>
      <w:r w:rsidRPr="008B5FEF">
        <w:rPr>
          <w:rFonts w:asciiTheme="minorHAnsi" w:hAnsiTheme="minorHAnsi" w:cstheme="minorHAnsi"/>
          <w:sz w:val="24"/>
        </w:rPr>
        <w:t xml:space="preserve">the </w:t>
      </w:r>
      <w:r w:rsidR="007D62F6">
        <w:rPr>
          <w:rFonts w:asciiTheme="minorHAnsi" w:hAnsiTheme="minorHAnsi" w:cstheme="minorHAnsi"/>
          <w:b/>
          <w:sz w:val="24"/>
        </w:rPr>
        <w:t>training/</w:t>
      </w:r>
      <w:r w:rsidR="00336E14" w:rsidRPr="008B5FEF">
        <w:rPr>
          <w:rFonts w:asciiTheme="minorHAnsi" w:hAnsiTheme="minorHAnsi" w:cstheme="minorHAnsi"/>
          <w:b/>
          <w:sz w:val="24"/>
        </w:rPr>
        <w:t>awareness program</w:t>
      </w:r>
      <w:r w:rsidR="00BE4794" w:rsidRPr="008B5FEF">
        <w:rPr>
          <w:rFonts w:asciiTheme="minorHAnsi" w:hAnsiTheme="minorHAnsi" w:cstheme="minorHAnsi"/>
          <w:b/>
          <w:sz w:val="24"/>
        </w:rPr>
        <w:t>.</w:t>
      </w:r>
    </w:p>
    <w:p w14:paraId="479CDB02" w14:textId="2A8B2B51" w:rsidR="008B5FEF" w:rsidRDefault="00BE4794" w:rsidP="00AC27B2">
      <w:pPr>
        <w:pStyle w:val="BodyText"/>
        <w:numPr>
          <w:ilvl w:val="0"/>
          <w:numId w:val="21"/>
        </w:numPr>
        <w:spacing w:before="0"/>
        <w:jc w:val="left"/>
        <w:rPr>
          <w:rFonts w:asciiTheme="minorHAnsi" w:hAnsiTheme="minorHAnsi" w:cstheme="minorHAnsi"/>
          <w:sz w:val="24"/>
        </w:rPr>
      </w:pPr>
      <w:r w:rsidRPr="008B5FEF">
        <w:rPr>
          <w:rFonts w:asciiTheme="minorHAnsi" w:hAnsiTheme="minorHAnsi" w:cstheme="minorHAnsi"/>
          <w:b/>
          <w:sz w:val="24"/>
        </w:rPr>
        <w:t>I</w:t>
      </w:r>
      <w:r w:rsidR="00336E14" w:rsidRPr="008B5FEF">
        <w:rPr>
          <w:rFonts w:asciiTheme="minorHAnsi" w:hAnsiTheme="minorHAnsi" w:cstheme="minorHAnsi"/>
          <w:b/>
          <w:sz w:val="24"/>
        </w:rPr>
        <w:t>nformati</w:t>
      </w:r>
      <w:r w:rsidRPr="008B5FEF">
        <w:rPr>
          <w:rFonts w:asciiTheme="minorHAnsi" w:hAnsiTheme="minorHAnsi" w:cstheme="minorHAnsi"/>
          <w:b/>
          <w:sz w:val="24"/>
        </w:rPr>
        <w:t>on security incident management</w:t>
      </w:r>
      <w:r w:rsidRPr="008B5FEF">
        <w:rPr>
          <w:rFonts w:asciiTheme="minorHAnsi" w:hAnsiTheme="minorHAnsi" w:cstheme="minorHAnsi"/>
          <w:sz w:val="24"/>
        </w:rPr>
        <w:t xml:space="preserve"> </w:t>
      </w:r>
      <w:r w:rsidR="00D05952">
        <w:rPr>
          <w:rFonts w:asciiTheme="minorHAnsi" w:hAnsiTheme="minorHAnsi" w:cstheme="minorHAnsi"/>
          <w:b/>
          <w:sz w:val="24"/>
        </w:rPr>
        <w:t xml:space="preserve">regime </w:t>
      </w:r>
      <w:r w:rsidR="00D05952" w:rsidRPr="00D05952">
        <w:rPr>
          <w:rFonts w:asciiTheme="minorHAnsi" w:hAnsiTheme="minorHAnsi" w:cstheme="minorHAnsi"/>
          <w:sz w:val="24"/>
        </w:rPr>
        <w:t xml:space="preserve">includes </w:t>
      </w:r>
      <w:r w:rsidR="00D05952">
        <w:rPr>
          <w:rFonts w:asciiTheme="minorHAnsi" w:hAnsiTheme="minorHAnsi" w:cstheme="minorHAnsi"/>
          <w:sz w:val="24"/>
        </w:rPr>
        <w:t xml:space="preserve">policy, plans, </w:t>
      </w:r>
      <w:r w:rsidR="00BB10D2">
        <w:rPr>
          <w:rFonts w:asciiTheme="minorHAnsi" w:hAnsiTheme="minorHAnsi" w:cstheme="minorHAnsi"/>
          <w:sz w:val="24"/>
        </w:rPr>
        <w:t xml:space="preserve">incident </w:t>
      </w:r>
      <w:r w:rsidR="00D05952">
        <w:rPr>
          <w:rFonts w:asciiTheme="minorHAnsi" w:hAnsiTheme="minorHAnsi" w:cstheme="minorHAnsi"/>
          <w:sz w:val="24"/>
        </w:rPr>
        <w:t xml:space="preserve">register and </w:t>
      </w:r>
      <w:r w:rsidR="00BB10D2">
        <w:rPr>
          <w:rFonts w:asciiTheme="minorHAnsi" w:hAnsiTheme="minorHAnsi" w:cstheme="minorHAnsi"/>
          <w:sz w:val="24"/>
        </w:rPr>
        <w:t xml:space="preserve">incident </w:t>
      </w:r>
      <w:r w:rsidR="00D05952">
        <w:rPr>
          <w:rFonts w:asciiTheme="minorHAnsi" w:hAnsiTheme="minorHAnsi" w:cstheme="minorHAnsi"/>
          <w:sz w:val="24"/>
        </w:rPr>
        <w:t>response testing.</w:t>
      </w:r>
    </w:p>
    <w:p w14:paraId="5B7A4FBA" w14:textId="01745967" w:rsidR="00336E14" w:rsidRPr="008B5FEF" w:rsidRDefault="008B5FEF" w:rsidP="00AC27B2">
      <w:pPr>
        <w:pStyle w:val="BodyText"/>
        <w:numPr>
          <w:ilvl w:val="0"/>
          <w:numId w:val="21"/>
        </w:numPr>
        <w:spacing w:before="0"/>
        <w:jc w:val="left"/>
        <w:rPr>
          <w:rFonts w:asciiTheme="minorHAnsi" w:hAnsiTheme="minorHAnsi" w:cstheme="minorHAnsi"/>
          <w:sz w:val="24"/>
        </w:rPr>
      </w:pPr>
      <w:r w:rsidRPr="008B5FEF">
        <w:rPr>
          <w:rFonts w:asciiTheme="minorHAnsi" w:hAnsiTheme="minorHAnsi" w:cstheme="minorHAnsi"/>
          <w:b/>
          <w:sz w:val="24"/>
        </w:rPr>
        <w:t>Business C</w:t>
      </w:r>
      <w:r w:rsidR="00336E14" w:rsidRPr="008B5FEF">
        <w:rPr>
          <w:rFonts w:asciiTheme="minorHAnsi" w:hAnsiTheme="minorHAnsi" w:cstheme="minorHAnsi"/>
          <w:b/>
          <w:sz w:val="24"/>
        </w:rPr>
        <w:t xml:space="preserve">ontinuity </w:t>
      </w:r>
      <w:r w:rsidRPr="008B5FEF">
        <w:rPr>
          <w:rFonts w:asciiTheme="minorHAnsi" w:hAnsiTheme="minorHAnsi" w:cstheme="minorHAnsi"/>
          <w:b/>
          <w:sz w:val="24"/>
        </w:rPr>
        <w:t>Plans</w:t>
      </w:r>
      <w:r w:rsidRPr="008B5FEF">
        <w:rPr>
          <w:rFonts w:asciiTheme="minorHAnsi" w:hAnsiTheme="minorHAnsi" w:cstheme="minorHAnsi"/>
          <w:sz w:val="24"/>
        </w:rPr>
        <w:t xml:space="preserve"> manage events that affects the </w:t>
      </w:r>
      <w:r w:rsidR="00336E14" w:rsidRPr="008B5FEF">
        <w:rPr>
          <w:rFonts w:asciiTheme="minorHAnsi" w:hAnsiTheme="minorHAnsi" w:cstheme="minorHAnsi"/>
          <w:sz w:val="24"/>
        </w:rPr>
        <w:t>confidentiality, integrity and availability of VCGLR information</w:t>
      </w:r>
      <w:r w:rsidR="00BB10D2">
        <w:rPr>
          <w:rFonts w:asciiTheme="minorHAnsi" w:hAnsiTheme="minorHAnsi" w:cstheme="minorHAnsi"/>
          <w:sz w:val="24"/>
        </w:rPr>
        <w:t xml:space="preserve"> and are tested annually.</w:t>
      </w:r>
    </w:p>
    <w:p w14:paraId="7E517193" w14:textId="7A65277E" w:rsidR="00336E14" w:rsidRDefault="008B5FEF" w:rsidP="00AC27B2">
      <w:pPr>
        <w:pStyle w:val="BodyText"/>
        <w:numPr>
          <w:ilvl w:val="0"/>
          <w:numId w:val="21"/>
        </w:numPr>
        <w:spacing w:before="0"/>
        <w:jc w:val="left"/>
        <w:rPr>
          <w:rFonts w:asciiTheme="minorHAnsi" w:hAnsiTheme="minorHAnsi" w:cstheme="minorHAnsi"/>
          <w:sz w:val="24"/>
        </w:rPr>
      </w:pPr>
      <w:bookmarkStart w:id="31" w:name="_Hlk43912871"/>
      <w:r w:rsidRPr="008B5FEF">
        <w:rPr>
          <w:rFonts w:asciiTheme="minorHAnsi" w:hAnsiTheme="minorHAnsi" w:cstheme="minorHAnsi"/>
          <w:b/>
          <w:sz w:val="24"/>
        </w:rPr>
        <w:t xml:space="preserve">Third party </w:t>
      </w:r>
      <w:r w:rsidR="00336E14" w:rsidRPr="008B5FEF">
        <w:rPr>
          <w:rFonts w:asciiTheme="minorHAnsi" w:hAnsiTheme="minorHAnsi" w:cstheme="minorHAnsi"/>
          <w:b/>
          <w:sz w:val="24"/>
        </w:rPr>
        <w:t>information security controls</w:t>
      </w:r>
      <w:r w:rsidR="00336E14" w:rsidRPr="00781EB8">
        <w:rPr>
          <w:rFonts w:asciiTheme="minorHAnsi" w:hAnsiTheme="minorHAnsi" w:cstheme="minorHAnsi"/>
          <w:sz w:val="24"/>
        </w:rPr>
        <w:t xml:space="preserve"> over contracts, Memorandum of Understanding (MOU) and inf</w:t>
      </w:r>
      <w:r>
        <w:rPr>
          <w:rFonts w:asciiTheme="minorHAnsi" w:hAnsiTheme="minorHAnsi" w:cstheme="minorHAnsi"/>
          <w:sz w:val="24"/>
        </w:rPr>
        <w:t xml:space="preserve">ormation sharing agreements include </w:t>
      </w:r>
      <w:r w:rsidR="00336E14" w:rsidRPr="00781EB8">
        <w:rPr>
          <w:rFonts w:asciiTheme="minorHAnsi" w:hAnsiTheme="minorHAnsi" w:cstheme="minorHAnsi"/>
          <w:sz w:val="24"/>
        </w:rPr>
        <w:t>a risk assessment process</w:t>
      </w:r>
      <w:bookmarkEnd w:id="31"/>
      <w:r w:rsidR="00D05952">
        <w:rPr>
          <w:rFonts w:asciiTheme="minorHAnsi" w:hAnsiTheme="minorHAnsi" w:cstheme="minorHAnsi"/>
          <w:sz w:val="24"/>
        </w:rPr>
        <w:t>, register and information release processes.</w:t>
      </w:r>
    </w:p>
    <w:p w14:paraId="15A9021D" w14:textId="5E61AFC6" w:rsidR="00D05952" w:rsidRPr="00781EB8" w:rsidRDefault="00D05952" w:rsidP="00AC27B2">
      <w:pPr>
        <w:pStyle w:val="BodyText"/>
        <w:numPr>
          <w:ilvl w:val="0"/>
          <w:numId w:val="21"/>
        </w:numPr>
        <w:spacing w:before="0"/>
        <w:jc w:val="left"/>
        <w:rPr>
          <w:rFonts w:asciiTheme="minorHAnsi" w:hAnsiTheme="minorHAnsi" w:cstheme="minorHAnsi"/>
          <w:sz w:val="24"/>
        </w:rPr>
      </w:pPr>
      <w:r>
        <w:rPr>
          <w:rFonts w:asciiTheme="minorHAnsi" w:hAnsiTheme="minorHAnsi" w:cstheme="minorHAnsi"/>
          <w:b/>
          <w:sz w:val="24"/>
        </w:rPr>
        <w:t xml:space="preserve">OVIC Information Security Reporting </w:t>
      </w:r>
      <w:r w:rsidRPr="00D05952">
        <w:rPr>
          <w:rFonts w:asciiTheme="minorHAnsi" w:hAnsiTheme="minorHAnsi" w:cstheme="minorHAnsi"/>
          <w:sz w:val="24"/>
        </w:rPr>
        <w:t>includes incident notification, the bi-annual Protective Data Security Plan</w:t>
      </w:r>
      <w:r>
        <w:rPr>
          <w:rFonts w:asciiTheme="minorHAnsi" w:hAnsiTheme="minorHAnsi" w:cstheme="minorHAnsi"/>
          <w:sz w:val="24"/>
        </w:rPr>
        <w:t xml:space="preserve"> and an annual attestation on the progress of VPDSS implementation.</w:t>
      </w:r>
      <w:r w:rsidRPr="00D05952">
        <w:rPr>
          <w:rFonts w:asciiTheme="minorHAnsi" w:hAnsiTheme="minorHAnsi" w:cstheme="minorHAnsi"/>
          <w:sz w:val="24"/>
        </w:rPr>
        <w:t xml:space="preserve">  </w:t>
      </w:r>
    </w:p>
    <w:p w14:paraId="491DBAD8" w14:textId="0227928F" w:rsidR="00336E14" w:rsidRPr="00781EB8" w:rsidRDefault="007D62F6" w:rsidP="00AC27B2">
      <w:pPr>
        <w:pStyle w:val="BodyText"/>
        <w:numPr>
          <w:ilvl w:val="0"/>
          <w:numId w:val="21"/>
        </w:numPr>
        <w:spacing w:before="0"/>
        <w:jc w:val="left"/>
        <w:rPr>
          <w:rFonts w:asciiTheme="minorHAnsi" w:hAnsiTheme="minorHAnsi" w:cstheme="minorHAnsi"/>
          <w:sz w:val="24"/>
        </w:rPr>
      </w:pPr>
      <w:r>
        <w:rPr>
          <w:rFonts w:asciiTheme="minorHAnsi" w:hAnsiTheme="minorHAnsi" w:cstheme="minorHAnsi"/>
          <w:b/>
          <w:sz w:val="24"/>
        </w:rPr>
        <w:t xml:space="preserve">Personnel </w:t>
      </w:r>
      <w:r w:rsidR="00BB66A9">
        <w:rPr>
          <w:rFonts w:asciiTheme="minorHAnsi" w:hAnsiTheme="minorHAnsi" w:cstheme="minorHAnsi"/>
          <w:b/>
          <w:sz w:val="24"/>
        </w:rPr>
        <w:t>s</w:t>
      </w:r>
      <w:r>
        <w:rPr>
          <w:rFonts w:asciiTheme="minorHAnsi" w:hAnsiTheme="minorHAnsi" w:cstheme="minorHAnsi"/>
          <w:b/>
          <w:sz w:val="24"/>
        </w:rPr>
        <w:t xml:space="preserve">ecurity </w:t>
      </w:r>
      <w:r w:rsidR="00BB66A9">
        <w:rPr>
          <w:rFonts w:asciiTheme="minorHAnsi" w:hAnsiTheme="minorHAnsi" w:cstheme="minorHAnsi"/>
          <w:b/>
          <w:sz w:val="24"/>
        </w:rPr>
        <w:t>c</w:t>
      </w:r>
      <w:r>
        <w:rPr>
          <w:rFonts w:asciiTheme="minorHAnsi" w:hAnsiTheme="minorHAnsi" w:cstheme="minorHAnsi"/>
          <w:b/>
          <w:sz w:val="24"/>
        </w:rPr>
        <w:t xml:space="preserve">ontrols </w:t>
      </w:r>
      <w:r w:rsidR="00BB10D2">
        <w:rPr>
          <w:rFonts w:asciiTheme="minorHAnsi" w:hAnsiTheme="minorHAnsi" w:cstheme="minorHAnsi"/>
          <w:sz w:val="24"/>
        </w:rPr>
        <w:t>include</w:t>
      </w:r>
      <w:r w:rsidRPr="007D62F6">
        <w:rPr>
          <w:rFonts w:asciiTheme="minorHAnsi" w:hAnsiTheme="minorHAnsi" w:cstheme="minorHAnsi"/>
          <w:sz w:val="24"/>
        </w:rPr>
        <w:t xml:space="preserve"> </w:t>
      </w:r>
      <w:r>
        <w:rPr>
          <w:rFonts w:asciiTheme="minorHAnsi" w:hAnsiTheme="minorHAnsi" w:cstheme="minorHAnsi"/>
          <w:sz w:val="24"/>
        </w:rPr>
        <w:t>p</w:t>
      </w:r>
      <w:r w:rsidRPr="007D62F6">
        <w:rPr>
          <w:rFonts w:asciiTheme="minorHAnsi" w:hAnsiTheme="minorHAnsi" w:cstheme="minorHAnsi"/>
          <w:sz w:val="24"/>
        </w:rPr>
        <w:t>re-employment screening,</w:t>
      </w:r>
      <w:r w:rsidR="00336E14" w:rsidRPr="007D62F6">
        <w:rPr>
          <w:rFonts w:asciiTheme="minorHAnsi" w:hAnsiTheme="minorHAnsi" w:cstheme="minorHAnsi"/>
          <w:sz w:val="24"/>
        </w:rPr>
        <w:t xml:space="preserve"> probity</w:t>
      </w:r>
      <w:r w:rsidR="00336E14" w:rsidRPr="00781EB8">
        <w:rPr>
          <w:rFonts w:asciiTheme="minorHAnsi" w:hAnsiTheme="minorHAnsi" w:cstheme="minorHAnsi"/>
          <w:sz w:val="24"/>
        </w:rPr>
        <w:t xml:space="preserve"> and police checks</w:t>
      </w:r>
      <w:r>
        <w:rPr>
          <w:rFonts w:asciiTheme="minorHAnsi" w:hAnsiTheme="minorHAnsi" w:cstheme="minorHAnsi"/>
          <w:sz w:val="24"/>
        </w:rPr>
        <w:t xml:space="preserve"> and ongoing monitoring</w:t>
      </w:r>
      <w:r w:rsidR="008B5FEF">
        <w:rPr>
          <w:rFonts w:asciiTheme="minorHAnsi" w:hAnsiTheme="minorHAnsi" w:cstheme="minorHAnsi"/>
          <w:sz w:val="24"/>
        </w:rPr>
        <w:t xml:space="preserve"> </w:t>
      </w:r>
      <w:r w:rsidR="00D62BDB">
        <w:rPr>
          <w:rFonts w:asciiTheme="minorHAnsi" w:hAnsiTheme="minorHAnsi" w:cstheme="minorHAnsi"/>
          <w:sz w:val="24"/>
        </w:rPr>
        <w:t xml:space="preserve">to </w:t>
      </w:r>
      <w:r>
        <w:rPr>
          <w:rFonts w:asciiTheme="minorHAnsi" w:hAnsiTheme="minorHAnsi" w:cstheme="minorHAnsi"/>
          <w:sz w:val="24"/>
        </w:rPr>
        <w:t>manage</w:t>
      </w:r>
      <w:r w:rsidR="008B5FEF" w:rsidRPr="00781EB8">
        <w:rPr>
          <w:rFonts w:asciiTheme="minorHAnsi" w:hAnsiTheme="minorHAnsi" w:cstheme="minorHAnsi"/>
          <w:sz w:val="24"/>
        </w:rPr>
        <w:t xml:space="preserve"> people’s suitability and eligibility to access VCGLR data</w:t>
      </w:r>
      <w:r w:rsidR="008B5FEF">
        <w:rPr>
          <w:rFonts w:asciiTheme="minorHAnsi" w:hAnsiTheme="minorHAnsi" w:cstheme="minorHAnsi"/>
          <w:sz w:val="24"/>
        </w:rPr>
        <w:t>.</w:t>
      </w:r>
    </w:p>
    <w:p w14:paraId="1495DF84" w14:textId="7A4DD750" w:rsidR="00336E14" w:rsidRPr="007A4AB9" w:rsidRDefault="00336E14" w:rsidP="00AC27B2">
      <w:pPr>
        <w:pStyle w:val="BodyText"/>
        <w:numPr>
          <w:ilvl w:val="0"/>
          <w:numId w:val="21"/>
        </w:numPr>
        <w:spacing w:before="0"/>
        <w:jc w:val="left"/>
        <w:rPr>
          <w:rFonts w:asciiTheme="minorHAnsi" w:hAnsiTheme="minorHAnsi" w:cstheme="minorHAnsi"/>
          <w:b/>
          <w:sz w:val="24"/>
        </w:rPr>
      </w:pPr>
      <w:r w:rsidRPr="00AC27B2">
        <w:rPr>
          <w:rFonts w:asciiTheme="minorHAnsi" w:hAnsiTheme="minorHAnsi" w:cstheme="minorHAnsi"/>
          <w:b/>
          <w:sz w:val="24"/>
        </w:rPr>
        <w:t>ICT security controls</w:t>
      </w:r>
      <w:r w:rsidR="006645E9">
        <w:rPr>
          <w:rFonts w:asciiTheme="minorHAnsi" w:hAnsiTheme="minorHAnsi" w:cstheme="minorHAnsi"/>
          <w:b/>
          <w:sz w:val="24"/>
        </w:rPr>
        <w:t xml:space="preserve"> </w:t>
      </w:r>
      <w:r w:rsidR="006645E9" w:rsidRPr="006645E9">
        <w:rPr>
          <w:rFonts w:asciiTheme="minorHAnsi" w:hAnsiTheme="minorHAnsi" w:cstheme="minorHAnsi"/>
          <w:sz w:val="24"/>
        </w:rPr>
        <w:t xml:space="preserve">are defined in the </w:t>
      </w:r>
      <w:r w:rsidR="006645E9" w:rsidRPr="00AC27B2">
        <w:rPr>
          <w:rFonts w:asciiTheme="minorHAnsi" w:hAnsiTheme="minorHAnsi" w:cstheme="minorHAnsi"/>
          <w:sz w:val="24"/>
        </w:rPr>
        <w:t>ICT Security Policy</w:t>
      </w:r>
      <w:r w:rsidR="00AC27B2">
        <w:rPr>
          <w:rFonts w:asciiTheme="minorHAnsi" w:hAnsiTheme="minorHAnsi" w:cstheme="minorHAnsi"/>
          <w:sz w:val="24"/>
        </w:rPr>
        <w:t xml:space="preserve"> and address</w:t>
      </w:r>
      <w:r w:rsidR="00BB10D2">
        <w:rPr>
          <w:rFonts w:asciiTheme="minorHAnsi" w:hAnsiTheme="minorHAnsi" w:cstheme="minorHAnsi"/>
          <w:sz w:val="24"/>
        </w:rPr>
        <w:t xml:space="preserve"> issues including</w:t>
      </w:r>
      <w:r w:rsidR="006645E9" w:rsidRPr="006645E9">
        <w:rPr>
          <w:rFonts w:asciiTheme="minorHAnsi" w:hAnsiTheme="minorHAnsi" w:cstheme="minorHAnsi"/>
          <w:sz w:val="24"/>
        </w:rPr>
        <w:t xml:space="preserve"> cyber security, ICT assets, vulnerability, change management, communications, media, Standard Operating Environment, system logging and monitoring, emails</w:t>
      </w:r>
      <w:r w:rsidR="006645E9">
        <w:rPr>
          <w:rFonts w:asciiTheme="minorHAnsi" w:hAnsiTheme="minorHAnsi" w:cstheme="minorHAnsi"/>
          <w:sz w:val="24"/>
        </w:rPr>
        <w:t xml:space="preserve">, </w:t>
      </w:r>
      <w:r w:rsidR="006645E9" w:rsidRPr="006645E9">
        <w:rPr>
          <w:rFonts w:asciiTheme="minorHAnsi" w:hAnsiTheme="minorHAnsi" w:cstheme="minorHAnsi"/>
          <w:sz w:val="24"/>
        </w:rPr>
        <w:t>network, malware, back up and secure software development.</w:t>
      </w:r>
      <w:r w:rsidR="006645E9">
        <w:rPr>
          <w:rFonts w:asciiTheme="minorHAnsi" w:hAnsiTheme="minorHAnsi" w:cstheme="minorHAnsi"/>
          <w:b/>
          <w:sz w:val="24"/>
        </w:rPr>
        <w:t xml:space="preserve"> </w:t>
      </w:r>
    </w:p>
    <w:p w14:paraId="54AC85C5" w14:textId="5DAD95C4" w:rsidR="00336E14" w:rsidRDefault="007D62F6" w:rsidP="00AC27B2">
      <w:pPr>
        <w:pStyle w:val="BodyText"/>
        <w:numPr>
          <w:ilvl w:val="0"/>
          <w:numId w:val="21"/>
        </w:numPr>
        <w:spacing w:before="0"/>
        <w:jc w:val="left"/>
        <w:rPr>
          <w:rFonts w:asciiTheme="minorHAnsi" w:hAnsiTheme="minorHAnsi" w:cstheme="minorHAnsi"/>
          <w:sz w:val="24"/>
        </w:rPr>
      </w:pPr>
      <w:r>
        <w:rPr>
          <w:rFonts w:asciiTheme="minorHAnsi" w:hAnsiTheme="minorHAnsi" w:cstheme="minorHAnsi"/>
          <w:sz w:val="24"/>
        </w:rPr>
        <w:t xml:space="preserve">Access to office </w:t>
      </w:r>
      <w:r w:rsidR="00336E14" w:rsidRPr="00781EB8">
        <w:rPr>
          <w:rFonts w:asciiTheme="minorHAnsi" w:hAnsiTheme="minorHAnsi" w:cstheme="minorHAnsi"/>
          <w:sz w:val="24"/>
        </w:rPr>
        <w:t>building</w:t>
      </w:r>
      <w:r>
        <w:rPr>
          <w:rFonts w:asciiTheme="minorHAnsi" w:hAnsiTheme="minorHAnsi" w:cstheme="minorHAnsi"/>
          <w:sz w:val="24"/>
        </w:rPr>
        <w:t xml:space="preserve"> and work spaces</w:t>
      </w:r>
      <w:r w:rsidR="00336E14" w:rsidRPr="00781EB8">
        <w:rPr>
          <w:rFonts w:asciiTheme="minorHAnsi" w:hAnsiTheme="minorHAnsi" w:cstheme="minorHAnsi"/>
          <w:sz w:val="24"/>
        </w:rPr>
        <w:t>, data centres and communication</w:t>
      </w:r>
      <w:r w:rsidR="00AC27B2">
        <w:rPr>
          <w:rFonts w:asciiTheme="minorHAnsi" w:hAnsiTheme="minorHAnsi" w:cstheme="minorHAnsi"/>
          <w:sz w:val="24"/>
        </w:rPr>
        <w:t xml:space="preserve"> and storage</w:t>
      </w:r>
      <w:r w:rsidR="00336E14" w:rsidRPr="00781EB8">
        <w:rPr>
          <w:rFonts w:asciiTheme="minorHAnsi" w:hAnsiTheme="minorHAnsi" w:cstheme="minorHAnsi"/>
          <w:sz w:val="24"/>
        </w:rPr>
        <w:t xml:space="preserve"> rooms </w:t>
      </w:r>
      <w:r>
        <w:rPr>
          <w:rFonts w:asciiTheme="minorHAnsi" w:hAnsiTheme="minorHAnsi" w:cstheme="minorHAnsi"/>
          <w:sz w:val="24"/>
        </w:rPr>
        <w:t xml:space="preserve">is managed through </w:t>
      </w:r>
      <w:r w:rsidRPr="007D62F6">
        <w:rPr>
          <w:rFonts w:asciiTheme="minorHAnsi" w:hAnsiTheme="minorHAnsi" w:cstheme="minorHAnsi"/>
          <w:b/>
          <w:sz w:val="24"/>
        </w:rPr>
        <w:t>physical security controls</w:t>
      </w:r>
      <w:r w:rsidR="00AC27B2">
        <w:rPr>
          <w:rFonts w:asciiTheme="minorHAnsi" w:hAnsiTheme="minorHAnsi" w:cstheme="minorHAnsi"/>
          <w:sz w:val="24"/>
        </w:rPr>
        <w:t xml:space="preserve"> which include the security plan, scalable physical security measures and out of office and equipment maintenance processes.</w:t>
      </w:r>
    </w:p>
    <w:p w14:paraId="1A8AB7E3" w14:textId="6FAEFE43" w:rsidR="00781EB8" w:rsidRDefault="00336E14" w:rsidP="00C73021">
      <w:pPr>
        <w:pStyle w:val="BodyText"/>
        <w:spacing w:before="0" w:after="0"/>
        <w:ind w:left="360"/>
        <w:rPr>
          <w:rFonts w:asciiTheme="minorHAnsi" w:hAnsiTheme="minorHAnsi" w:cstheme="minorHAnsi"/>
          <w:sz w:val="24"/>
        </w:rPr>
      </w:pPr>
      <w:r w:rsidRPr="00781EB8">
        <w:rPr>
          <w:rFonts w:asciiTheme="minorHAnsi" w:hAnsiTheme="minorHAnsi" w:cstheme="minorHAnsi"/>
          <w:b/>
          <w:sz w:val="24"/>
        </w:rPr>
        <w:t xml:space="preserve">Records Management Framework </w:t>
      </w:r>
      <w:r w:rsidRPr="00781EB8">
        <w:rPr>
          <w:rFonts w:asciiTheme="minorHAnsi" w:hAnsiTheme="minorHAnsi" w:cstheme="minorHAnsi"/>
          <w:sz w:val="24"/>
        </w:rPr>
        <w:t xml:space="preserve">ensures that full and accurate records of VCGLR activities and decisions are created, managed and kept in accordance with the provisions of the </w:t>
      </w:r>
      <w:bookmarkStart w:id="32" w:name="_Hlk61438292"/>
      <w:r w:rsidRPr="00781EB8">
        <w:rPr>
          <w:rFonts w:asciiTheme="minorHAnsi" w:hAnsiTheme="minorHAnsi" w:cstheme="minorHAnsi"/>
          <w:i/>
          <w:iCs/>
          <w:sz w:val="24"/>
        </w:rPr>
        <w:t>Public Records Act 1973</w:t>
      </w:r>
      <w:r w:rsidRPr="00781EB8">
        <w:rPr>
          <w:rFonts w:asciiTheme="minorHAnsi" w:hAnsiTheme="minorHAnsi" w:cstheme="minorHAnsi"/>
          <w:sz w:val="24"/>
        </w:rPr>
        <w:t xml:space="preserve">. </w:t>
      </w:r>
      <w:bookmarkEnd w:id="32"/>
      <w:r w:rsidRPr="00781EB8">
        <w:rPr>
          <w:rFonts w:asciiTheme="minorHAnsi" w:hAnsiTheme="minorHAnsi" w:cstheme="minorHAnsi"/>
          <w:sz w:val="24"/>
        </w:rPr>
        <w:t>It outlines and encompasses the VCGLR records management policy, strategy and a range of record management processes and procedures (Business Classification Scheme, Access Restrictions Criteria and Disposal/Destruction Policy, Records Disaster Recovery Plan) and is based on legislation and whole of government standa</w:t>
      </w:r>
      <w:r w:rsidR="00781EB8" w:rsidRPr="00781EB8">
        <w:rPr>
          <w:rFonts w:asciiTheme="minorHAnsi" w:hAnsiTheme="minorHAnsi" w:cstheme="minorHAnsi"/>
          <w:sz w:val="24"/>
        </w:rPr>
        <w:t>rds</w:t>
      </w:r>
      <w:r w:rsidR="00781EB8">
        <w:rPr>
          <w:rFonts w:asciiTheme="minorHAnsi" w:hAnsiTheme="minorHAnsi" w:cstheme="minorHAnsi"/>
          <w:sz w:val="24"/>
        </w:rPr>
        <w:t>.</w:t>
      </w:r>
    </w:p>
    <w:p w14:paraId="275D31F9" w14:textId="77777777" w:rsidR="00781EB8" w:rsidRDefault="00781EB8">
      <w:pPr>
        <w:spacing w:after="0"/>
        <w:rPr>
          <w:rFonts w:eastAsia="Times New Roman" w:cstheme="minorHAnsi"/>
          <w:lang w:val="en-AU"/>
        </w:rPr>
      </w:pPr>
      <w:r>
        <w:rPr>
          <w:rFonts w:cstheme="minorHAnsi"/>
        </w:rPr>
        <w:br w:type="page"/>
      </w:r>
    </w:p>
    <w:p w14:paraId="739B8CB4" w14:textId="62DD16C7" w:rsidR="00781EB8" w:rsidRDefault="00781EB8" w:rsidP="00781EB8">
      <w:pPr>
        <w:pStyle w:val="Heading1"/>
        <w:ind w:left="965"/>
        <w:jc w:val="both"/>
      </w:pPr>
      <w:bookmarkStart w:id="33" w:name="_Toc61436896"/>
      <w:r>
        <w:lastRenderedPageBreak/>
        <w:t>Appendix 1 VCGLR Governance</w:t>
      </w:r>
      <w:r w:rsidR="007D4C5C">
        <w:t xml:space="preserve"> Control System</w:t>
      </w:r>
      <w:bookmarkEnd w:id="33"/>
    </w:p>
    <w:p w14:paraId="416F8E32" w14:textId="77777777" w:rsidR="002B66B0" w:rsidRPr="00781EB8" w:rsidRDefault="002B66B0" w:rsidP="00781EB8">
      <w:pPr>
        <w:pStyle w:val="BodyText"/>
        <w:spacing w:before="0" w:after="0"/>
        <w:ind w:left="0"/>
        <w:rPr>
          <w:rFonts w:asciiTheme="minorHAnsi" w:hAnsiTheme="minorHAnsi" w:cstheme="minorHAnsi"/>
          <w:sz w:val="24"/>
        </w:rPr>
      </w:pPr>
    </w:p>
    <w:tbl>
      <w:tblPr>
        <w:tblStyle w:val="TableGrid"/>
        <w:tblW w:w="10060" w:type="dxa"/>
        <w:tblBorders>
          <w:top w:val="single" w:sz="4" w:space="0" w:color="2459A9" w:themeColor="text1"/>
          <w:left w:val="single" w:sz="4" w:space="0" w:color="2459A9" w:themeColor="text1"/>
          <w:bottom w:val="single" w:sz="4" w:space="0" w:color="2459A9" w:themeColor="text1"/>
          <w:right w:val="single" w:sz="4" w:space="0" w:color="2459A9" w:themeColor="text1"/>
          <w:insideH w:val="single" w:sz="4" w:space="0" w:color="2459A9" w:themeColor="text1"/>
          <w:insideV w:val="single" w:sz="4" w:space="0" w:color="2459A9" w:themeColor="text1"/>
        </w:tblBorders>
        <w:tblLook w:val="04A0" w:firstRow="1" w:lastRow="0" w:firstColumn="1" w:lastColumn="0" w:noHBand="0" w:noVBand="1"/>
      </w:tblPr>
      <w:tblGrid>
        <w:gridCol w:w="3207"/>
        <w:gridCol w:w="2884"/>
        <w:gridCol w:w="3969"/>
      </w:tblGrid>
      <w:tr w:rsidR="002C22BE" w14:paraId="701A0EE0" w14:textId="77777777" w:rsidTr="00F16F2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207" w:type="dxa"/>
          </w:tcPr>
          <w:p w14:paraId="1A09907B" w14:textId="06F46258" w:rsidR="002C22BE" w:rsidRPr="002C22BE" w:rsidRDefault="002C22BE" w:rsidP="002C22BE">
            <w:pPr>
              <w:rPr>
                <w:rFonts w:cstheme="minorHAnsi"/>
                <w:color w:val="E74F3C" w:themeColor="accent3"/>
                <w:sz w:val="24"/>
                <w:lang w:val="en-AU"/>
              </w:rPr>
            </w:pPr>
            <w:r w:rsidRPr="002C22BE">
              <w:rPr>
                <w:rFonts w:cstheme="minorHAnsi"/>
                <w:sz w:val="24"/>
              </w:rPr>
              <w:t xml:space="preserve">Governance Practice </w:t>
            </w:r>
          </w:p>
        </w:tc>
        <w:tc>
          <w:tcPr>
            <w:tcW w:w="2884" w:type="dxa"/>
          </w:tcPr>
          <w:p w14:paraId="7BF879E0" w14:textId="686D7CB1" w:rsidR="002C22BE" w:rsidRPr="002C22BE" w:rsidRDefault="002C22BE" w:rsidP="002C22BE">
            <w:pPr>
              <w:cnfStyle w:val="100000000000" w:firstRow="1" w:lastRow="0" w:firstColumn="0" w:lastColumn="0" w:oddVBand="0" w:evenVBand="0" w:oddHBand="0" w:evenHBand="0" w:firstRowFirstColumn="0" w:firstRowLastColumn="0" w:lastRowFirstColumn="0" w:lastRowLastColumn="0"/>
              <w:rPr>
                <w:rFonts w:cstheme="minorHAnsi"/>
                <w:color w:val="E74F3C" w:themeColor="accent3"/>
                <w:sz w:val="24"/>
                <w:lang w:val="en-AU"/>
              </w:rPr>
            </w:pPr>
            <w:r w:rsidRPr="002C22BE">
              <w:rPr>
                <w:rFonts w:cstheme="minorHAnsi"/>
                <w:sz w:val="24"/>
              </w:rPr>
              <w:t>Implementation</w:t>
            </w:r>
          </w:p>
        </w:tc>
        <w:tc>
          <w:tcPr>
            <w:tcW w:w="3969" w:type="dxa"/>
          </w:tcPr>
          <w:p w14:paraId="06687340" w14:textId="4B559161" w:rsidR="002C22BE" w:rsidRPr="002C22BE" w:rsidRDefault="002C22BE" w:rsidP="002C22BE">
            <w:pPr>
              <w:cnfStyle w:val="100000000000" w:firstRow="1" w:lastRow="0" w:firstColumn="0" w:lastColumn="0" w:oddVBand="0" w:evenVBand="0" w:oddHBand="0" w:evenHBand="0" w:firstRowFirstColumn="0" w:firstRowLastColumn="0" w:lastRowFirstColumn="0" w:lastRowLastColumn="0"/>
              <w:rPr>
                <w:rFonts w:cstheme="minorHAnsi"/>
                <w:color w:val="E74F3C" w:themeColor="accent3"/>
                <w:sz w:val="24"/>
                <w:lang w:val="en-AU"/>
              </w:rPr>
            </w:pPr>
            <w:r w:rsidRPr="002C22BE">
              <w:rPr>
                <w:rFonts w:cstheme="minorHAnsi"/>
                <w:sz w:val="24"/>
              </w:rPr>
              <w:t>Components</w:t>
            </w:r>
          </w:p>
        </w:tc>
      </w:tr>
      <w:tr w:rsidR="002C22BE" w:rsidRPr="002C22BE" w14:paraId="2B1EA587" w14:textId="77777777" w:rsidTr="00F16F22">
        <w:tc>
          <w:tcPr>
            <w:cnfStyle w:val="001000000000" w:firstRow="0" w:lastRow="0" w:firstColumn="1" w:lastColumn="0" w:oddVBand="0" w:evenVBand="0" w:oddHBand="0" w:evenHBand="0" w:firstRowFirstColumn="0" w:firstRowLastColumn="0" w:lastRowFirstColumn="0" w:lastRowLastColumn="0"/>
            <w:tcW w:w="3207" w:type="dxa"/>
          </w:tcPr>
          <w:p w14:paraId="32B9A328" w14:textId="2CB7127A" w:rsidR="002C22BE" w:rsidRPr="00143E0C" w:rsidRDefault="002C22BE" w:rsidP="002C22BE">
            <w:pPr>
              <w:rPr>
                <w:rFonts w:cstheme="minorHAnsi"/>
                <w:color w:val="E74F3C" w:themeColor="accent3"/>
                <w:sz w:val="22"/>
                <w:szCs w:val="22"/>
                <w:lang w:val="en-AU"/>
              </w:rPr>
            </w:pPr>
            <w:r w:rsidRPr="00143E0C">
              <w:rPr>
                <w:rFonts w:cstheme="minorHAnsi"/>
                <w:sz w:val="22"/>
                <w:szCs w:val="22"/>
              </w:rPr>
              <w:t>Accountable management</w:t>
            </w:r>
          </w:p>
        </w:tc>
        <w:tc>
          <w:tcPr>
            <w:tcW w:w="2884" w:type="dxa"/>
          </w:tcPr>
          <w:p w14:paraId="16B51212" w14:textId="064C9CCE" w:rsidR="002C22BE" w:rsidRPr="00143E0C" w:rsidRDefault="002C22BE" w:rsidP="002C22BE">
            <w:pPr>
              <w:cnfStyle w:val="000000000000" w:firstRow="0" w:lastRow="0" w:firstColumn="0" w:lastColumn="0" w:oddVBand="0" w:evenVBand="0" w:oddHBand="0" w:evenHBand="0" w:firstRowFirstColumn="0" w:firstRowLastColumn="0" w:lastRowFirstColumn="0" w:lastRowLastColumn="0"/>
              <w:rPr>
                <w:rFonts w:cstheme="minorHAnsi"/>
                <w:color w:val="E74F3C" w:themeColor="accent3"/>
                <w:sz w:val="22"/>
                <w:szCs w:val="22"/>
                <w:lang w:val="en-AU"/>
              </w:rPr>
            </w:pPr>
            <w:r w:rsidRPr="00143E0C">
              <w:rPr>
                <w:rFonts w:cstheme="minorHAnsi"/>
                <w:sz w:val="22"/>
                <w:szCs w:val="22"/>
              </w:rPr>
              <w:t>Governance Framework</w:t>
            </w:r>
          </w:p>
        </w:tc>
        <w:tc>
          <w:tcPr>
            <w:tcW w:w="3969" w:type="dxa"/>
          </w:tcPr>
          <w:p w14:paraId="44282D14" w14:textId="77777777" w:rsidR="002C22BE" w:rsidRPr="00143E0C" w:rsidRDefault="002C22BE" w:rsidP="002C22BE">
            <w:pPr>
              <w:pStyle w:val="ListParagraph"/>
              <w:numPr>
                <w:ilvl w:val="0"/>
                <w:numId w:val="31"/>
              </w:numPr>
              <w:spacing w:after="0"/>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143E0C">
              <w:rPr>
                <w:rFonts w:cstheme="minorHAnsi"/>
                <w:sz w:val="22"/>
                <w:szCs w:val="22"/>
              </w:rPr>
              <w:t xml:space="preserve">Governance structure  </w:t>
            </w:r>
          </w:p>
          <w:p w14:paraId="5456327A" w14:textId="77777777" w:rsidR="002C22BE" w:rsidRPr="00143E0C" w:rsidRDefault="002C22BE" w:rsidP="002C22BE">
            <w:pPr>
              <w:pStyle w:val="ListParagraph"/>
              <w:numPr>
                <w:ilvl w:val="0"/>
                <w:numId w:val="31"/>
              </w:numPr>
              <w:spacing w:after="0"/>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143E0C">
              <w:rPr>
                <w:rFonts w:cstheme="minorHAnsi"/>
                <w:sz w:val="22"/>
                <w:szCs w:val="22"/>
              </w:rPr>
              <w:t>Charters</w:t>
            </w:r>
          </w:p>
          <w:p w14:paraId="12ECBC25" w14:textId="77777777" w:rsidR="002C22BE" w:rsidRPr="00143E0C" w:rsidRDefault="002C22BE" w:rsidP="002C22BE">
            <w:pPr>
              <w:pStyle w:val="ListParagraph"/>
              <w:numPr>
                <w:ilvl w:val="0"/>
                <w:numId w:val="31"/>
              </w:numPr>
              <w:spacing w:after="0"/>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143E0C">
              <w:rPr>
                <w:rFonts w:cstheme="minorHAnsi"/>
                <w:sz w:val="22"/>
                <w:szCs w:val="22"/>
              </w:rPr>
              <w:t>Delegations</w:t>
            </w:r>
          </w:p>
          <w:p w14:paraId="3B82FC87" w14:textId="0A950BA7" w:rsidR="002C22BE" w:rsidRPr="00143E0C" w:rsidRDefault="002C22BE" w:rsidP="002C22BE">
            <w:pPr>
              <w:pStyle w:val="ListParagraph"/>
              <w:numPr>
                <w:ilvl w:val="0"/>
                <w:numId w:val="31"/>
              </w:numPr>
              <w:spacing w:after="0"/>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143E0C">
              <w:rPr>
                <w:rFonts w:cstheme="minorHAnsi"/>
                <w:sz w:val="22"/>
                <w:szCs w:val="22"/>
              </w:rPr>
              <w:t>Organisational structure</w:t>
            </w:r>
          </w:p>
        </w:tc>
      </w:tr>
      <w:tr w:rsidR="002C22BE" w:rsidRPr="002C22BE" w14:paraId="7F44BE3B" w14:textId="77777777" w:rsidTr="00F16F22">
        <w:tc>
          <w:tcPr>
            <w:cnfStyle w:val="001000000000" w:firstRow="0" w:lastRow="0" w:firstColumn="1" w:lastColumn="0" w:oddVBand="0" w:evenVBand="0" w:oddHBand="0" w:evenHBand="0" w:firstRowFirstColumn="0" w:firstRowLastColumn="0" w:lastRowFirstColumn="0" w:lastRowLastColumn="0"/>
            <w:tcW w:w="3207" w:type="dxa"/>
          </w:tcPr>
          <w:p w14:paraId="51C107C1" w14:textId="73BFDF23" w:rsidR="002C22BE" w:rsidRPr="00143E0C" w:rsidRDefault="002C22BE" w:rsidP="002C22BE">
            <w:pPr>
              <w:rPr>
                <w:rFonts w:cstheme="minorHAnsi"/>
                <w:color w:val="E74F3C" w:themeColor="accent3"/>
                <w:sz w:val="22"/>
                <w:szCs w:val="22"/>
                <w:lang w:val="en-AU"/>
              </w:rPr>
            </w:pPr>
            <w:r w:rsidRPr="00143E0C">
              <w:rPr>
                <w:rFonts w:cstheme="minorHAnsi"/>
                <w:sz w:val="22"/>
                <w:szCs w:val="22"/>
              </w:rPr>
              <w:t>Ethical decision making</w:t>
            </w:r>
          </w:p>
        </w:tc>
        <w:tc>
          <w:tcPr>
            <w:tcW w:w="2884" w:type="dxa"/>
          </w:tcPr>
          <w:p w14:paraId="75535D8A" w14:textId="22E04896" w:rsidR="002C22BE" w:rsidRPr="00143E0C" w:rsidRDefault="002C22BE" w:rsidP="002C22BE">
            <w:pPr>
              <w:cnfStyle w:val="000000000000" w:firstRow="0" w:lastRow="0" w:firstColumn="0" w:lastColumn="0" w:oddVBand="0" w:evenVBand="0" w:oddHBand="0" w:evenHBand="0" w:firstRowFirstColumn="0" w:firstRowLastColumn="0" w:lastRowFirstColumn="0" w:lastRowLastColumn="0"/>
              <w:rPr>
                <w:rFonts w:cstheme="minorHAnsi"/>
                <w:color w:val="E74F3C" w:themeColor="accent3"/>
                <w:sz w:val="22"/>
                <w:szCs w:val="22"/>
                <w:lang w:val="en-AU"/>
              </w:rPr>
            </w:pPr>
            <w:r w:rsidRPr="00143E0C">
              <w:rPr>
                <w:rFonts w:cstheme="minorHAnsi"/>
                <w:sz w:val="22"/>
                <w:szCs w:val="22"/>
              </w:rPr>
              <w:t>Integrity Framework</w:t>
            </w:r>
          </w:p>
        </w:tc>
        <w:tc>
          <w:tcPr>
            <w:tcW w:w="3969" w:type="dxa"/>
          </w:tcPr>
          <w:p w14:paraId="114D7A89" w14:textId="77777777" w:rsidR="002C22BE" w:rsidRPr="00143E0C" w:rsidRDefault="002C22BE" w:rsidP="002C22BE">
            <w:pPr>
              <w:pStyle w:val="ListParagraph"/>
              <w:numPr>
                <w:ilvl w:val="0"/>
                <w:numId w:val="32"/>
              </w:numPr>
              <w:spacing w:after="0"/>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143E0C">
              <w:rPr>
                <w:rFonts w:cstheme="minorHAnsi"/>
                <w:sz w:val="22"/>
                <w:szCs w:val="22"/>
              </w:rPr>
              <w:t>Ethical standards</w:t>
            </w:r>
          </w:p>
          <w:p w14:paraId="64629DA7" w14:textId="6A5DCBA6" w:rsidR="002C22BE" w:rsidRPr="00143E0C" w:rsidRDefault="007556DD" w:rsidP="002C22BE">
            <w:pPr>
              <w:pStyle w:val="ListParagraph"/>
              <w:numPr>
                <w:ilvl w:val="0"/>
                <w:numId w:val="32"/>
              </w:numPr>
              <w:spacing w:after="0"/>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t xml:space="preserve">Integrity </w:t>
            </w:r>
            <w:r w:rsidR="0012065B">
              <w:rPr>
                <w:rFonts w:cstheme="minorHAnsi"/>
                <w:sz w:val="22"/>
                <w:szCs w:val="22"/>
              </w:rPr>
              <w:t>p</w:t>
            </w:r>
            <w:r w:rsidR="002C22BE" w:rsidRPr="00143E0C">
              <w:rPr>
                <w:rFonts w:cstheme="minorHAnsi"/>
                <w:sz w:val="22"/>
                <w:szCs w:val="22"/>
              </w:rPr>
              <w:t>olicy framework</w:t>
            </w:r>
          </w:p>
          <w:p w14:paraId="3646FF3D" w14:textId="77777777" w:rsidR="002C22BE" w:rsidRPr="00143E0C" w:rsidRDefault="002C22BE" w:rsidP="002C22BE">
            <w:pPr>
              <w:pStyle w:val="ListParagraph"/>
              <w:numPr>
                <w:ilvl w:val="0"/>
                <w:numId w:val="32"/>
              </w:numPr>
              <w:spacing w:after="0"/>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143E0C">
              <w:rPr>
                <w:rFonts w:cstheme="minorHAnsi"/>
                <w:sz w:val="22"/>
                <w:szCs w:val="22"/>
              </w:rPr>
              <w:t xml:space="preserve">Culture support </w:t>
            </w:r>
          </w:p>
          <w:p w14:paraId="5CBA8C64" w14:textId="77777777" w:rsidR="002C22BE" w:rsidRPr="00143E0C" w:rsidRDefault="002C22BE" w:rsidP="002C22BE">
            <w:pPr>
              <w:pStyle w:val="ListParagraph"/>
              <w:numPr>
                <w:ilvl w:val="0"/>
                <w:numId w:val="32"/>
              </w:numPr>
              <w:spacing w:after="0"/>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143E0C">
              <w:rPr>
                <w:rFonts w:cstheme="minorHAnsi"/>
                <w:sz w:val="22"/>
                <w:szCs w:val="22"/>
              </w:rPr>
              <w:t>Ethical compliance certification</w:t>
            </w:r>
          </w:p>
          <w:p w14:paraId="7BA8D23C" w14:textId="0DC260C4" w:rsidR="002C22BE" w:rsidRPr="00143E0C" w:rsidRDefault="0012065B" w:rsidP="002C22BE">
            <w:pPr>
              <w:pStyle w:val="ListParagraph"/>
              <w:numPr>
                <w:ilvl w:val="0"/>
                <w:numId w:val="32"/>
              </w:numPr>
              <w:spacing w:after="0"/>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t>Fraud &amp;</w:t>
            </w:r>
            <w:r w:rsidR="002C22BE" w:rsidRPr="00143E0C">
              <w:rPr>
                <w:rFonts w:cstheme="minorHAnsi"/>
                <w:sz w:val="22"/>
                <w:szCs w:val="22"/>
              </w:rPr>
              <w:t xml:space="preserve"> corruption risk management</w:t>
            </w:r>
          </w:p>
          <w:p w14:paraId="169635F2" w14:textId="5259E1B6" w:rsidR="002C22BE" w:rsidRPr="00143E0C" w:rsidRDefault="00AD3471" w:rsidP="002C22BE">
            <w:pPr>
              <w:pStyle w:val="ListParagraph"/>
              <w:numPr>
                <w:ilvl w:val="0"/>
                <w:numId w:val="32"/>
              </w:numPr>
              <w:spacing w:after="0"/>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t xml:space="preserve">Fraud </w:t>
            </w:r>
            <w:r w:rsidR="0012065B">
              <w:rPr>
                <w:rFonts w:cstheme="minorHAnsi"/>
                <w:sz w:val="22"/>
                <w:szCs w:val="22"/>
              </w:rPr>
              <w:t>&amp; corruption p</w:t>
            </w:r>
            <w:r w:rsidR="002C22BE" w:rsidRPr="00143E0C">
              <w:rPr>
                <w:rFonts w:cstheme="minorHAnsi"/>
                <w:sz w:val="22"/>
                <w:szCs w:val="22"/>
              </w:rPr>
              <w:t>revention measures</w:t>
            </w:r>
          </w:p>
          <w:p w14:paraId="4785EF92" w14:textId="77777777" w:rsidR="002C22BE" w:rsidRPr="00143E0C" w:rsidRDefault="002C22BE" w:rsidP="002C22BE">
            <w:pPr>
              <w:pStyle w:val="ListParagraph"/>
              <w:numPr>
                <w:ilvl w:val="0"/>
                <w:numId w:val="32"/>
              </w:numPr>
              <w:spacing w:after="0"/>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143E0C">
              <w:rPr>
                <w:rFonts w:cstheme="minorHAnsi"/>
                <w:sz w:val="22"/>
                <w:szCs w:val="22"/>
              </w:rPr>
              <w:t>Central oversight</w:t>
            </w:r>
          </w:p>
          <w:p w14:paraId="1A385C97" w14:textId="58DD940F" w:rsidR="002C22BE" w:rsidRPr="00143E0C" w:rsidRDefault="002C22BE" w:rsidP="002C22BE">
            <w:pPr>
              <w:pStyle w:val="ListParagraph"/>
              <w:numPr>
                <w:ilvl w:val="0"/>
                <w:numId w:val="32"/>
              </w:numPr>
              <w:spacing w:after="0"/>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143E0C">
              <w:rPr>
                <w:rFonts w:cstheme="minorHAnsi"/>
                <w:sz w:val="22"/>
                <w:szCs w:val="22"/>
              </w:rPr>
              <w:t>Fraud and corruption detection and response</w:t>
            </w:r>
          </w:p>
        </w:tc>
      </w:tr>
      <w:tr w:rsidR="002C22BE" w:rsidRPr="002C22BE" w14:paraId="00ECCC8C" w14:textId="77777777" w:rsidTr="00F16F22">
        <w:tc>
          <w:tcPr>
            <w:cnfStyle w:val="001000000000" w:firstRow="0" w:lastRow="0" w:firstColumn="1" w:lastColumn="0" w:oddVBand="0" w:evenVBand="0" w:oddHBand="0" w:evenHBand="0" w:firstRowFirstColumn="0" w:firstRowLastColumn="0" w:lastRowFirstColumn="0" w:lastRowLastColumn="0"/>
            <w:tcW w:w="3207" w:type="dxa"/>
          </w:tcPr>
          <w:p w14:paraId="0B42D22D" w14:textId="4F2629F7" w:rsidR="002C22BE" w:rsidRPr="00143E0C" w:rsidRDefault="002C22BE" w:rsidP="002C22BE">
            <w:pPr>
              <w:rPr>
                <w:rFonts w:cstheme="minorHAnsi"/>
                <w:color w:val="E74F3C" w:themeColor="accent3"/>
                <w:sz w:val="22"/>
                <w:szCs w:val="22"/>
                <w:lang w:val="en-AU"/>
              </w:rPr>
            </w:pPr>
            <w:r w:rsidRPr="00143E0C">
              <w:rPr>
                <w:rFonts w:cstheme="minorHAnsi"/>
                <w:sz w:val="22"/>
                <w:szCs w:val="22"/>
              </w:rPr>
              <w:t>Productive stakeholder engagement</w:t>
            </w:r>
          </w:p>
        </w:tc>
        <w:tc>
          <w:tcPr>
            <w:tcW w:w="2884" w:type="dxa"/>
          </w:tcPr>
          <w:p w14:paraId="1D85BBD3" w14:textId="0624B6F6" w:rsidR="002C22BE" w:rsidRPr="00143E0C" w:rsidRDefault="002C22BE" w:rsidP="002C22BE">
            <w:pPr>
              <w:cnfStyle w:val="000000000000" w:firstRow="0" w:lastRow="0" w:firstColumn="0" w:lastColumn="0" w:oddVBand="0" w:evenVBand="0" w:oddHBand="0" w:evenHBand="0" w:firstRowFirstColumn="0" w:firstRowLastColumn="0" w:lastRowFirstColumn="0" w:lastRowLastColumn="0"/>
              <w:rPr>
                <w:rFonts w:cstheme="minorHAnsi"/>
                <w:color w:val="E74F3C" w:themeColor="accent3"/>
                <w:sz w:val="22"/>
                <w:szCs w:val="22"/>
                <w:lang w:val="en-AU"/>
              </w:rPr>
            </w:pPr>
            <w:r w:rsidRPr="00143E0C">
              <w:rPr>
                <w:rFonts w:cstheme="minorHAnsi"/>
                <w:sz w:val="22"/>
                <w:szCs w:val="22"/>
              </w:rPr>
              <w:t>Stakeholder Engagement Framework</w:t>
            </w:r>
          </w:p>
        </w:tc>
        <w:tc>
          <w:tcPr>
            <w:tcW w:w="3969" w:type="dxa"/>
          </w:tcPr>
          <w:p w14:paraId="498BA0C2" w14:textId="77777777" w:rsidR="002C22BE" w:rsidRPr="00143E0C" w:rsidRDefault="002C22BE" w:rsidP="002C22BE">
            <w:pPr>
              <w:pStyle w:val="ListParagraph"/>
              <w:numPr>
                <w:ilvl w:val="0"/>
                <w:numId w:val="32"/>
              </w:numPr>
              <w:spacing w:after="0"/>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143E0C">
              <w:rPr>
                <w:rFonts w:cstheme="minorHAnsi"/>
                <w:sz w:val="22"/>
                <w:szCs w:val="22"/>
              </w:rPr>
              <w:t>Stakeholder engagement strategy</w:t>
            </w:r>
          </w:p>
          <w:p w14:paraId="0CA2FE75" w14:textId="77777777" w:rsidR="002C22BE" w:rsidRPr="00143E0C" w:rsidRDefault="002C22BE" w:rsidP="002C22BE">
            <w:pPr>
              <w:pStyle w:val="ListParagraph"/>
              <w:numPr>
                <w:ilvl w:val="0"/>
                <w:numId w:val="32"/>
              </w:numPr>
              <w:spacing w:after="0"/>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143E0C">
              <w:rPr>
                <w:rFonts w:cstheme="minorHAnsi"/>
                <w:sz w:val="22"/>
                <w:szCs w:val="22"/>
              </w:rPr>
              <w:t>Communication policies and guidelines</w:t>
            </w:r>
          </w:p>
          <w:p w14:paraId="64088905" w14:textId="77777777" w:rsidR="002C22BE" w:rsidRPr="00143E0C" w:rsidRDefault="002C22BE" w:rsidP="002C22BE">
            <w:pPr>
              <w:pStyle w:val="ListParagraph"/>
              <w:numPr>
                <w:ilvl w:val="0"/>
                <w:numId w:val="32"/>
              </w:numPr>
              <w:spacing w:after="0"/>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143E0C">
              <w:rPr>
                <w:rFonts w:cstheme="minorHAnsi"/>
                <w:sz w:val="22"/>
                <w:szCs w:val="22"/>
              </w:rPr>
              <w:t>Industry surveys</w:t>
            </w:r>
          </w:p>
          <w:p w14:paraId="69882F84" w14:textId="77777777" w:rsidR="002C22BE" w:rsidRPr="00143E0C" w:rsidRDefault="002C22BE" w:rsidP="002C22BE">
            <w:pPr>
              <w:pStyle w:val="ListParagraph"/>
              <w:numPr>
                <w:ilvl w:val="0"/>
                <w:numId w:val="32"/>
              </w:numPr>
              <w:spacing w:after="0"/>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143E0C">
              <w:rPr>
                <w:rFonts w:cstheme="minorHAnsi"/>
                <w:sz w:val="22"/>
                <w:szCs w:val="22"/>
              </w:rPr>
              <w:t>Customer service standards</w:t>
            </w:r>
          </w:p>
          <w:p w14:paraId="2E835F53" w14:textId="48123EF6" w:rsidR="002C22BE" w:rsidRPr="00143E0C" w:rsidRDefault="00A55797" w:rsidP="002C22BE">
            <w:pPr>
              <w:pStyle w:val="ListParagraph"/>
              <w:numPr>
                <w:ilvl w:val="0"/>
                <w:numId w:val="32"/>
              </w:numPr>
              <w:spacing w:after="0"/>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t>Organisational c</w:t>
            </w:r>
            <w:r w:rsidR="002C22BE" w:rsidRPr="00143E0C">
              <w:rPr>
                <w:rFonts w:cstheme="minorHAnsi"/>
                <w:sz w:val="22"/>
                <w:szCs w:val="22"/>
              </w:rPr>
              <w:t>omplaints management process</w:t>
            </w:r>
          </w:p>
        </w:tc>
      </w:tr>
      <w:tr w:rsidR="002C22BE" w:rsidRPr="002C22BE" w14:paraId="70D60BFF" w14:textId="77777777" w:rsidTr="00F16F22">
        <w:tc>
          <w:tcPr>
            <w:cnfStyle w:val="001000000000" w:firstRow="0" w:lastRow="0" w:firstColumn="1" w:lastColumn="0" w:oddVBand="0" w:evenVBand="0" w:oddHBand="0" w:evenHBand="0" w:firstRowFirstColumn="0" w:firstRowLastColumn="0" w:lastRowFirstColumn="0" w:lastRowLastColumn="0"/>
            <w:tcW w:w="3207" w:type="dxa"/>
          </w:tcPr>
          <w:p w14:paraId="176FBEB9" w14:textId="0BCA5091" w:rsidR="002C22BE" w:rsidRPr="00143E0C" w:rsidRDefault="002C22BE" w:rsidP="002C22BE">
            <w:pPr>
              <w:rPr>
                <w:rFonts w:cstheme="minorHAnsi"/>
                <w:color w:val="E74F3C" w:themeColor="accent3"/>
                <w:sz w:val="22"/>
                <w:szCs w:val="22"/>
                <w:lang w:val="en-AU"/>
              </w:rPr>
            </w:pPr>
            <w:r w:rsidRPr="00143E0C">
              <w:rPr>
                <w:rFonts w:cstheme="minorHAnsi"/>
                <w:sz w:val="22"/>
                <w:szCs w:val="22"/>
              </w:rPr>
              <w:t>Proficient planning, delivery and robust performance management</w:t>
            </w:r>
          </w:p>
        </w:tc>
        <w:tc>
          <w:tcPr>
            <w:tcW w:w="2884" w:type="dxa"/>
          </w:tcPr>
          <w:p w14:paraId="34F48AF6" w14:textId="6B817E4D" w:rsidR="002C22BE" w:rsidRPr="00143E0C" w:rsidRDefault="002C22BE" w:rsidP="002C22BE">
            <w:pPr>
              <w:cnfStyle w:val="000000000000" w:firstRow="0" w:lastRow="0" w:firstColumn="0" w:lastColumn="0" w:oddVBand="0" w:evenVBand="0" w:oddHBand="0" w:evenHBand="0" w:firstRowFirstColumn="0" w:firstRowLastColumn="0" w:lastRowFirstColumn="0" w:lastRowLastColumn="0"/>
              <w:rPr>
                <w:rFonts w:cstheme="minorHAnsi"/>
                <w:color w:val="E74F3C" w:themeColor="accent3"/>
                <w:sz w:val="22"/>
                <w:szCs w:val="22"/>
                <w:lang w:val="en-AU"/>
              </w:rPr>
            </w:pPr>
            <w:r w:rsidRPr="00143E0C">
              <w:rPr>
                <w:rFonts w:cstheme="minorHAnsi"/>
                <w:sz w:val="22"/>
                <w:szCs w:val="22"/>
              </w:rPr>
              <w:t>Planning and Performance Management Framework</w:t>
            </w:r>
          </w:p>
        </w:tc>
        <w:tc>
          <w:tcPr>
            <w:tcW w:w="3969" w:type="dxa"/>
          </w:tcPr>
          <w:p w14:paraId="61D72F94" w14:textId="77777777" w:rsidR="002C22BE" w:rsidRPr="00143E0C" w:rsidRDefault="002C22BE" w:rsidP="002C22BE">
            <w:pPr>
              <w:pStyle w:val="ListParagraph"/>
              <w:numPr>
                <w:ilvl w:val="0"/>
                <w:numId w:val="33"/>
              </w:numPr>
              <w:spacing w:after="0"/>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143E0C">
              <w:rPr>
                <w:rFonts w:cstheme="minorHAnsi"/>
                <w:sz w:val="22"/>
                <w:szCs w:val="22"/>
              </w:rPr>
              <w:t>Environmental scanning</w:t>
            </w:r>
          </w:p>
          <w:p w14:paraId="17493847" w14:textId="77777777" w:rsidR="002C22BE" w:rsidRPr="00143E0C" w:rsidRDefault="002C22BE" w:rsidP="002C22BE">
            <w:pPr>
              <w:pStyle w:val="ListParagraph"/>
              <w:numPr>
                <w:ilvl w:val="0"/>
                <w:numId w:val="33"/>
              </w:numPr>
              <w:spacing w:after="0"/>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143E0C">
              <w:rPr>
                <w:rFonts w:cstheme="minorHAnsi"/>
                <w:sz w:val="22"/>
                <w:szCs w:val="22"/>
              </w:rPr>
              <w:t>Corporate plan (strategy)</w:t>
            </w:r>
          </w:p>
          <w:p w14:paraId="6F00CAC4" w14:textId="40932229" w:rsidR="002C22BE" w:rsidRPr="00143E0C" w:rsidRDefault="00E269C0" w:rsidP="002C22BE">
            <w:pPr>
              <w:pStyle w:val="ListParagraph"/>
              <w:numPr>
                <w:ilvl w:val="0"/>
                <w:numId w:val="33"/>
              </w:numPr>
              <w:spacing w:after="0"/>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t>Cascading business, divisional and PDP Plans</w:t>
            </w:r>
          </w:p>
          <w:p w14:paraId="0C6FAC47" w14:textId="77777777" w:rsidR="002C22BE" w:rsidRPr="00143E0C" w:rsidRDefault="002C22BE" w:rsidP="002C22BE">
            <w:pPr>
              <w:pStyle w:val="ListParagraph"/>
              <w:numPr>
                <w:ilvl w:val="0"/>
                <w:numId w:val="33"/>
              </w:numPr>
              <w:spacing w:after="0"/>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143E0C">
              <w:rPr>
                <w:rFonts w:cstheme="minorHAnsi"/>
                <w:sz w:val="22"/>
                <w:szCs w:val="22"/>
              </w:rPr>
              <w:t>Workforce strategy</w:t>
            </w:r>
          </w:p>
          <w:p w14:paraId="5788CAE7" w14:textId="651134AA" w:rsidR="002C22BE" w:rsidRDefault="002C22BE" w:rsidP="002C22BE">
            <w:pPr>
              <w:pStyle w:val="ListParagraph"/>
              <w:numPr>
                <w:ilvl w:val="0"/>
                <w:numId w:val="33"/>
              </w:numPr>
              <w:spacing w:after="0"/>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143E0C">
              <w:rPr>
                <w:rFonts w:cstheme="minorHAnsi"/>
                <w:sz w:val="22"/>
                <w:szCs w:val="22"/>
              </w:rPr>
              <w:t>ICT strategy</w:t>
            </w:r>
          </w:p>
          <w:p w14:paraId="601E53D8" w14:textId="43D860B7" w:rsidR="00E269C0" w:rsidRPr="00143E0C" w:rsidRDefault="00E269C0" w:rsidP="002C22BE">
            <w:pPr>
              <w:pStyle w:val="ListParagraph"/>
              <w:numPr>
                <w:ilvl w:val="0"/>
                <w:numId w:val="33"/>
              </w:numPr>
              <w:spacing w:after="0"/>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t>Budgets</w:t>
            </w:r>
          </w:p>
          <w:p w14:paraId="2483D6D9" w14:textId="6F101880" w:rsidR="002C22BE" w:rsidRPr="00143E0C" w:rsidRDefault="002C22BE" w:rsidP="002C22BE">
            <w:pPr>
              <w:pStyle w:val="ListParagraph"/>
              <w:numPr>
                <w:ilvl w:val="0"/>
                <w:numId w:val="33"/>
              </w:numPr>
              <w:spacing w:after="0"/>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143E0C">
              <w:rPr>
                <w:rFonts w:cstheme="minorHAnsi"/>
                <w:sz w:val="22"/>
                <w:szCs w:val="22"/>
              </w:rPr>
              <w:t>Management information &amp; accounting systems</w:t>
            </w:r>
          </w:p>
        </w:tc>
      </w:tr>
      <w:tr w:rsidR="002C22BE" w:rsidRPr="002C22BE" w14:paraId="6482F076" w14:textId="77777777" w:rsidTr="00F16F22">
        <w:tc>
          <w:tcPr>
            <w:cnfStyle w:val="001000000000" w:firstRow="0" w:lastRow="0" w:firstColumn="1" w:lastColumn="0" w:oddVBand="0" w:evenVBand="0" w:oddHBand="0" w:evenHBand="0" w:firstRowFirstColumn="0" w:firstRowLastColumn="0" w:lastRowFirstColumn="0" w:lastRowLastColumn="0"/>
            <w:tcW w:w="3207" w:type="dxa"/>
          </w:tcPr>
          <w:p w14:paraId="5E9730EE" w14:textId="6E5EFFDD" w:rsidR="002C22BE" w:rsidRPr="00143E0C" w:rsidRDefault="002C22BE" w:rsidP="002C22BE">
            <w:pPr>
              <w:rPr>
                <w:rFonts w:cstheme="minorHAnsi"/>
                <w:color w:val="E74F3C" w:themeColor="accent3"/>
                <w:sz w:val="22"/>
                <w:szCs w:val="22"/>
                <w:lang w:val="en-AU"/>
              </w:rPr>
            </w:pPr>
            <w:r w:rsidRPr="00143E0C">
              <w:rPr>
                <w:rFonts w:cstheme="minorHAnsi"/>
                <w:sz w:val="22"/>
                <w:szCs w:val="22"/>
              </w:rPr>
              <w:t>Effective management of risk and opportunity</w:t>
            </w:r>
          </w:p>
        </w:tc>
        <w:tc>
          <w:tcPr>
            <w:tcW w:w="2884" w:type="dxa"/>
          </w:tcPr>
          <w:p w14:paraId="693D0349" w14:textId="4D8AA9BC" w:rsidR="002C22BE" w:rsidRPr="00143E0C" w:rsidRDefault="002C22BE" w:rsidP="002C22BE">
            <w:pPr>
              <w:cnfStyle w:val="000000000000" w:firstRow="0" w:lastRow="0" w:firstColumn="0" w:lastColumn="0" w:oddVBand="0" w:evenVBand="0" w:oddHBand="0" w:evenHBand="0" w:firstRowFirstColumn="0" w:firstRowLastColumn="0" w:lastRowFirstColumn="0" w:lastRowLastColumn="0"/>
              <w:rPr>
                <w:rFonts w:cstheme="minorHAnsi"/>
                <w:color w:val="E74F3C" w:themeColor="accent3"/>
                <w:sz w:val="22"/>
                <w:szCs w:val="22"/>
                <w:lang w:val="en-AU"/>
              </w:rPr>
            </w:pPr>
            <w:r w:rsidRPr="00143E0C">
              <w:rPr>
                <w:rFonts w:cstheme="minorHAnsi"/>
                <w:sz w:val="22"/>
                <w:szCs w:val="22"/>
              </w:rPr>
              <w:t xml:space="preserve">Risk Management (RM) Framework </w:t>
            </w:r>
          </w:p>
        </w:tc>
        <w:tc>
          <w:tcPr>
            <w:tcW w:w="3969" w:type="dxa"/>
          </w:tcPr>
          <w:p w14:paraId="5B9E733A" w14:textId="62A7467D" w:rsidR="002C22BE" w:rsidRDefault="002C22BE" w:rsidP="002C22BE">
            <w:pPr>
              <w:pStyle w:val="ListParagraph"/>
              <w:numPr>
                <w:ilvl w:val="0"/>
                <w:numId w:val="34"/>
              </w:numPr>
              <w:spacing w:after="0"/>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143E0C">
              <w:rPr>
                <w:rFonts w:cstheme="minorHAnsi"/>
                <w:sz w:val="22"/>
                <w:szCs w:val="22"/>
              </w:rPr>
              <w:t>RM plan &amp; evaluation</w:t>
            </w:r>
          </w:p>
          <w:p w14:paraId="464814A2" w14:textId="30A80BDD" w:rsidR="00B46E17" w:rsidRPr="00143E0C" w:rsidRDefault="00B46E17" w:rsidP="002C22BE">
            <w:pPr>
              <w:pStyle w:val="ListParagraph"/>
              <w:numPr>
                <w:ilvl w:val="0"/>
                <w:numId w:val="34"/>
              </w:numPr>
              <w:spacing w:after="0"/>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t>Risk appetite</w:t>
            </w:r>
          </w:p>
          <w:p w14:paraId="68B7616B" w14:textId="625BCCFD" w:rsidR="002C22BE" w:rsidRDefault="002C22BE" w:rsidP="002C22BE">
            <w:pPr>
              <w:pStyle w:val="ListParagraph"/>
              <w:numPr>
                <w:ilvl w:val="0"/>
                <w:numId w:val="34"/>
              </w:numPr>
              <w:spacing w:after="0"/>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143E0C">
              <w:rPr>
                <w:rFonts w:cstheme="minorHAnsi"/>
                <w:sz w:val="22"/>
                <w:szCs w:val="22"/>
              </w:rPr>
              <w:t>Risk profile assessments</w:t>
            </w:r>
          </w:p>
          <w:p w14:paraId="76D3E7D7" w14:textId="710939FD" w:rsidR="00B46E17" w:rsidRDefault="00B46E17" w:rsidP="002C22BE">
            <w:pPr>
              <w:pStyle w:val="ListParagraph"/>
              <w:numPr>
                <w:ilvl w:val="0"/>
                <w:numId w:val="34"/>
              </w:numPr>
              <w:spacing w:after="0"/>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t>Risk culture plan</w:t>
            </w:r>
          </w:p>
          <w:p w14:paraId="0A0297A0" w14:textId="5CF8841D" w:rsidR="00B46E17" w:rsidRPr="00143E0C" w:rsidRDefault="009D1D48" w:rsidP="002C22BE">
            <w:pPr>
              <w:pStyle w:val="ListParagraph"/>
              <w:numPr>
                <w:ilvl w:val="0"/>
                <w:numId w:val="34"/>
              </w:numPr>
              <w:spacing w:after="0"/>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t>Interagency collaboration mechanisms</w:t>
            </w:r>
          </w:p>
          <w:p w14:paraId="5BE3198C" w14:textId="77777777" w:rsidR="002C22BE" w:rsidRPr="00143E0C" w:rsidRDefault="002C22BE" w:rsidP="002C22BE">
            <w:pPr>
              <w:pStyle w:val="ListParagraph"/>
              <w:numPr>
                <w:ilvl w:val="0"/>
                <w:numId w:val="34"/>
              </w:numPr>
              <w:spacing w:after="0"/>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143E0C">
              <w:rPr>
                <w:rFonts w:cstheme="minorHAnsi"/>
                <w:sz w:val="22"/>
                <w:szCs w:val="22"/>
              </w:rPr>
              <w:t>Business continuity management</w:t>
            </w:r>
          </w:p>
          <w:p w14:paraId="64B3E5C7" w14:textId="71DC2689" w:rsidR="004D7D90" w:rsidRPr="00F16F22" w:rsidRDefault="007D4C5C" w:rsidP="00F16F22">
            <w:pPr>
              <w:pStyle w:val="ListParagraph"/>
              <w:numPr>
                <w:ilvl w:val="0"/>
                <w:numId w:val="34"/>
              </w:numPr>
              <w:spacing w:after="0"/>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t xml:space="preserve">Victorian Government Risk Management (VGRMF) </w:t>
            </w:r>
            <w:r w:rsidR="002C22BE" w:rsidRPr="00143E0C">
              <w:rPr>
                <w:rFonts w:cstheme="minorHAnsi"/>
                <w:sz w:val="22"/>
                <w:szCs w:val="22"/>
              </w:rPr>
              <w:t>compliance</w:t>
            </w:r>
          </w:p>
        </w:tc>
      </w:tr>
      <w:tr w:rsidR="002C22BE" w:rsidRPr="002C22BE" w14:paraId="697C92A8" w14:textId="77777777" w:rsidTr="00F16F22">
        <w:tc>
          <w:tcPr>
            <w:cnfStyle w:val="001000000000" w:firstRow="0" w:lastRow="0" w:firstColumn="1" w:lastColumn="0" w:oddVBand="0" w:evenVBand="0" w:oddHBand="0" w:evenHBand="0" w:firstRowFirstColumn="0" w:firstRowLastColumn="0" w:lastRowFirstColumn="0" w:lastRowLastColumn="0"/>
            <w:tcW w:w="3207" w:type="dxa"/>
          </w:tcPr>
          <w:p w14:paraId="0E4FD1A9" w14:textId="337FB720" w:rsidR="002C22BE" w:rsidRPr="00143E0C" w:rsidRDefault="002C22BE" w:rsidP="002C22BE">
            <w:pPr>
              <w:rPr>
                <w:rFonts w:cstheme="minorHAnsi"/>
                <w:color w:val="E74F3C" w:themeColor="accent3"/>
                <w:sz w:val="22"/>
                <w:szCs w:val="22"/>
                <w:lang w:val="en-AU"/>
              </w:rPr>
            </w:pPr>
            <w:r w:rsidRPr="00143E0C">
              <w:rPr>
                <w:rFonts w:cstheme="minorHAnsi"/>
                <w:sz w:val="22"/>
                <w:szCs w:val="22"/>
              </w:rPr>
              <w:lastRenderedPageBreak/>
              <w:t>Embedded compliance and internal controls</w:t>
            </w:r>
          </w:p>
        </w:tc>
        <w:tc>
          <w:tcPr>
            <w:tcW w:w="2884" w:type="dxa"/>
          </w:tcPr>
          <w:p w14:paraId="272AFE5D" w14:textId="45A1124D" w:rsidR="002C22BE" w:rsidRPr="00143E0C" w:rsidRDefault="002C22BE" w:rsidP="002C22BE">
            <w:pPr>
              <w:cnfStyle w:val="000000000000" w:firstRow="0" w:lastRow="0" w:firstColumn="0" w:lastColumn="0" w:oddVBand="0" w:evenVBand="0" w:oddHBand="0" w:evenHBand="0" w:firstRowFirstColumn="0" w:firstRowLastColumn="0" w:lastRowFirstColumn="0" w:lastRowLastColumn="0"/>
              <w:rPr>
                <w:rFonts w:cstheme="minorHAnsi"/>
                <w:color w:val="E74F3C" w:themeColor="accent3"/>
                <w:sz w:val="22"/>
                <w:szCs w:val="22"/>
                <w:lang w:val="en-AU"/>
              </w:rPr>
            </w:pPr>
            <w:r w:rsidRPr="00143E0C">
              <w:rPr>
                <w:rFonts w:cstheme="minorHAnsi"/>
                <w:sz w:val="22"/>
                <w:szCs w:val="22"/>
              </w:rPr>
              <w:t>Legal and Regulatory Compliance Management Framework</w:t>
            </w:r>
          </w:p>
        </w:tc>
        <w:tc>
          <w:tcPr>
            <w:tcW w:w="3969" w:type="dxa"/>
          </w:tcPr>
          <w:p w14:paraId="4F47FF58" w14:textId="266DCDEA" w:rsidR="002C22BE" w:rsidRPr="00143E0C" w:rsidRDefault="002C22BE" w:rsidP="002C22BE">
            <w:pPr>
              <w:pStyle w:val="ListParagraph"/>
              <w:numPr>
                <w:ilvl w:val="0"/>
                <w:numId w:val="36"/>
              </w:numPr>
              <w:spacing w:after="0"/>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143E0C">
              <w:rPr>
                <w:rFonts w:cstheme="minorHAnsi"/>
                <w:sz w:val="22"/>
                <w:szCs w:val="22"/>
              </w:rPr>
              <w:t xml:space="preserve">Strategic Internal Audit Plan </w:t>
            </w:r>
          </w:p>
          <w:p w14:paraId="181BB7FA" w14:textId="77777777" w:rsidR="002C22BE" w:rsidRPr="00143E0C" w:rsidRDefault="002C22BE" w:rsidP="002C22BE">
            <w:pPr>
              <w:pStyle w:val="ListParagraph"/>
              <w:numPr>
                <w:ilvl w:val="0"/>
                <w:numId w:val="35"/>
              </w:numPr>
              <w:spacing w:after="0"/>
              <w:cnfStyle w:val="000000000000" w:firstRow="0" w:lastRow="0" w:firstColumn="0" w:lastColumn="0" w:oddVBand="0" w:evenVBand="0" w:oddHBand="0" w:evenHBand="0" w:firstRowFirstColumn="0" w:firstRowLastColumn="0" w:lastRowFirstColumn="0" w:lastRowLastColumn="0"/>
              <w:rPr>
                <w:rFonts w:cstheme="minorHAnsi"/>
                <w:sz w:val="22"/>
                <w:szCs w:val="22"/>
              </w:rPr>
            </w:pPr>
            <w:proofErr w:type="gramStart"/>
            <w:r w:rsidRPr="00143E0C">
              <w:rPr>
                <w:rFonts w:cstheme="minorHAnsi"/>
                <w:sz w:val="22"/>
                <w:szCs w:val="22"/>
              </w:rPr>
              <w:t>Financial Management</w:t>
            </w:r>
            <w:proofErr w:type="gramEnd"/>
            <w:r w:rsidRPr="00143E0C">
              <w:rPr>
                <w:rFonts w:cstheme="minorHAnsi"/>
                <w:sz w:val="22"/>
                <w:szCs w:val="22"/>
              </w:rPr>
              <w:t xml:space="preserve"> Framework</w:t>
            </w:r>
          </w:p>
          <w:p w14:paraId="682C4F9F" w14:textId="77777777" w:rsidR="002C22BE" w:rsidRPr="00143E0C" w:rsidRDefault="002C22BE" w:rsidP="002C22BE">
            <w:pPr>
              <w:pStyle w:val="ListParagraph"/>
              <w:numPr>
                <w:ilvl w:val="0"/>
                <w:numId w:val="35"/>
              </w:numPr>
              <w:spacing w:after="0"/>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143E0C">
              <w:rPr>
                <w:rFonts w:cstheme="minorHAnsi"/>
                <w:sz w:val="22"/>
                <w:szCs w:val="22"/>
              </w:rPr>
              <w:t xml:space="preserve">Procurement/contract management framework </w:t>
            </w:r>
          </w:p>
          <w:p w14:paraId="376CF194" w14:textId="1877A0CE" w:rsidR="002C22BE" w:rsidRPr="009D1D48" w:rsidRDefault="002C22BE" w:rsidP="009D1D48">
            <w:pPr>
              <w:pStyle w:val="ListParagraph"/>
              <w:numPr>
                <w:ilvl w:val="0"/>
                <w:numId w:val="35"/>
              </w:numPr>
              <w:spacing w:after="0"/>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143E0C">
              <w:rPr>
                <w:rFonts w:cstheme="minorHAnsi"/>
                <w:sz w:val="22"/>
                <w:szCs w:val="22"/>
              </w:rPr>
              <w:t>Health and Safety (H&amp;S) framework</w:t>
            </w:r>
          </w:p>
        </w:tc>
      </w:tr>
      <w:tr w:rsidR="00143E0C" w:rsidRPr="002C22BE" w14:paraId="1B60FE85" w14:textId="77777777" w:rsidTr="00F16F22">
        <w:tc>
          <w:tcPr>
            <w:cnfStyle w:val="001000000000" w:firstRow="0" w:lastRow="0" w:firstColumn="1" w:lastColumn="0" w:oddVBand="0" w:evenVBand="0" w:oddHBand="0" w:evenHBand="0" w:firstRowFirstColumn="0" w:firstRowLastColumn="0" w:lastRowFirstColumn="0" w:lastRowLastColumn="0"/>
            <w:tcW w:w="3207" w:type="dxa"/>
            <w:vMerge w:val="restart"/>
          </w:tcPr>
          <w:p w14:paraId="6B131357" w14:textId="7A16D46D" w:rsidR="00143E0C" w:rsidRPr="00143E0C" w:rsidRDefault="00143E0C" w:rsidP="00143E0C">
            <w:pPr>
              <w:rPr>
                <w:rFonts w:cstheme="minorHAnsi"/>
                <w:color w:val="E74F3C" w:themeColor="accent3"/>
                <w:sz w:val="22"/>
                <w:szCs w:val="22"/>
                <w:lang w:val="en-AU"/>
              </w:rPr>
            </w:pPr>
            <w:r w:rsidRPr="00143E0C">
              <w:rPr>
                <w:rFonts w:cstheme="minorHAnsi"/>
                <w:sz w:val="22"/>
                <w:szCs w:val="22"/>
              </w:rPr>
              <w:t>Responsible information management.</w:t>
            </w:r>
          </w:p>
        </w:tc>
        <w:tc>
          <w:tcPr>
            <w:tcW w:w="2884" w:type="dxa"/>
          </w:tcPr>
          <w:p w14:paraId="55D9E86A" w14:textId="58E059CC" w:rsidR="00143E0C" w:rsidRPr="00143E0C" w:rsidRDefault="00143E0C" w:rsidP="00143E0C">
            <w:pPr>
              <w:cnfStyle w:val="000000000000" w:firstRow="0" w:lastRow="0" w:firstColumn="0" w:lastColumn="0" w:oddVBand="0" w:evenVBand="0" w:oddHBand="0" w:evenHBand="0" w:firstRowFirstColumn="0" w:firstRowLastColumn="0" w:lastRowFirstColumn="0" w:lastRowLastColumn="0"/>
              <w:rPr>
                <w:rFonts w:cstheme="minorHAnsi"/>
                <w:color w:val="E74F3C" w:themeColor="accent3"/>
                <w:sz w:val="22"/>
                <w:szCs w:val="22"/>
                <w:lang w:val="en-AU"/>
              </w:rPr>
            </w:pPr>
            <w:r w:rsidRPr="00143E0C">
              <w:rPr>
                <w:rFonts w:cstheme="minorHAnsi"/>
                <w:sz w:val="22"/>
                <w:szCs w:val="22"/>
              </w:rPr>
              <w:t>Information Security Management Framework</w:t>
            </w:r>
          </w:p>
        </w:tc>
        <w:tc>
          <w:tcPr>
            <w:tcW w:w="3969" w:type="dxa"/>
          </w:tcPr>
          <w:p w14:paraId="31E1DF38" w14:textId="29201815" w:rsidR="00143E0C" w:rsidRDefault="00143E0C" w:rsidP="00143E0C">
            <w:pPr>
              <w:pStyle w:val="ListParagraph"/>
              <w:numPr>
                <w:ilvl w:val="0"/>
                <w:numId w:val="37"/>
              </w:numPr>
              <w:spacing w:after="0"/>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143E0C">
              <w:rPr>
                <w:rFonts w:cstheme="minorHAnsi"/>
                <w:sz w:val="22"/>
                <w:szCs w:val="22"/>
              </w:rPr>
              <w:t>Secu</w:t>
            </w:r>
            <w:r w:rsidR="00D90A99">
              <w:rPr>
                <w:rFonts w:cstheme="minorHAnsi"/>
                <w:sz w:val="22"/>
                <w:szCs w:val="22"/>
              </w:rPr>
              <w:t>rity risk profile a</w:t>
            </w:r>
            <w:r w:rsidRPr="00143E0C">
              <w:rPr>
                <w:rFonts w:cstheme="minorHAnsi"/>
                <w:sz w:val="22"/>
                <w:szCs w:val="22"/>
              </w:rPr>
              <w:t>ssessments</w:t>
            </w:r>
          </w:p>
          <w:p w14:paraId="009324BA" w14:textId="0300A9B0" w:rsidR="00D90A99" w:rsidRPr="00D90A99" w:rsidRDefault="00D90A99" w:rsidP="00D90A99">
            <w:pPr>
              <w:pStyle w:val="ListParagraph"/>
              <w:numPr>
                <w:ilvl w:val="0"/>
                <w:numId w:val="37"/>
              </w:numPr>
              <w:spacing w:after="0"/>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t>Information asset r</w:t>
            </w:r>
            <w:r w:rsidRPr="00143E0C">
              <w:rPr>
                <w:rFonts w:cstheme="minorHAnsi"/>
                <w:sz w:val="22"/>
                <w:szCs w:val="22"/>
              </w:rPr>
              <w:t>egister</w:t>
            </w:r>
            <w:r>
              <w:rPr>
                <w:rFonts w:cstheme="minorHAnsi"/>
                <w:sz w:val="22"/>
                <w:szCs w:val="22"/>
              </w:rPr>
              <w:t xml:space="preserve"> &amp; protective m</w:t>
            </w:r>
            <w:r w:rsidRPr="00143E0C">
              <w:rPr>
                <w:rFonts w:cstheme="minorHAnsi"/>
                <w:sz w:val="22"/>
                <w:szCs w:val="22"/>
              </w:rPr>
              <w:t>arkings</w:t>
            </w:r>
          </w:p>
          <w:p w14:paraId="413D47B4" w14:textId="3BA48BB7" w:rsidR="00143E0C" w:rsidRPr="00143E0C" w:rsidRDefault="00143E0C" w:rsidP="00143E0C">
            <w:pPr>
              <w:pStyle w:val="ListParagraph"/>
              <w:numPr>
                <w:ilvl w:val="0"/>
                <w:numId w:val="37"/>
              </w:numPr>
              <w:spacing w:after="0"/>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143E0C">
              <w:rPr>
                <w:rFonts w:cstheme="minorHAnsi"/>
                <w:sz w:val="22"/>
                <w:szCs w:val="22"/>
              </w:rPr>
              <w:t xml:space="preserve">Access </w:t>
            </w:r>
            <w:r w:rsidR="00D90A99">
              <w:rPr>
                <w:rFonts w:cstheme="minorHAnsi"/>
                <w:sz w:val="22"/>
                <w:szCs w:val="22"/>
              </w:rPr>
              <w:t>management regime</w:t>
            </w:r>
          </w:p>
          <w:p w14:paraId="66F48E7E" w14:textId="44819A9B" w:rsidR="00143E0C" w:rsidRPr="00143E0C" w:rsidRDefault="00D90A99" w:rsidP="00143E0C">
            <w:pPr>
              <w:pStyle w:val="ListParagraph"/>
              <w:numPr>
                <w:ilvl w:val="0"/>
                <w:numId w:val="37"/>
              </w:numPr>
              <w:spacing w:after="0"/>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t>Security obligations training &amp; a</w:t>
            </w:r>
            <w:r w:rsidR="00143E0C" w:rsidRPr="00143E0C">
              <w:rPr>
                <w:rFonts w:cstheme="minorHAnsi"/>
                <w:sz w:val="22"/>
                <w:szCs w:val="22"/>
              </w:rPr>
              <w:t>wareness</w:t>
            </w:r>
          </w:p>
          <w:p w14:paraId="4F0B6A43" w14:textId="2677AA00" w:rsidR="00143E0C" w:rsidRPr="00143E0C" w:rsidRDefault="00D90A99" w:rsidP="00143E0C">
            <w:pPr>
              <w:pStyle w:val="ListParagraph"/>
              <w:numPr>
                <w:ilvl w:val="0"/>
                <w:numId w:val="37"/>
              </w:numPr>
              <w:spacing w:after="0"/>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t>Information security incident m</w:t>
            </w:r>
            <w:r w:rsidR="00143E0C" w:rsidRPr="00143E0C">
              <w:rPr>
                <w:rFonts w:cstheme="minorHAnsi"/>
                <w:sz w:val="22"/>
                <w:szCs w:val="22"/>
              </w:rPr>
              <w:t>anagement</w:t>
            </w:r>
            <w:r w:rsidR="00BB10D2">
              <w:rPr>
                <w:rFonts w:cstheme="minorHAnsi"/>
                <w:sz w:val="22"/>
                <w:szCs w:val="22"/>
              </w:rPr>
              <w:t xml:space="preserve"> regime</w:t>
            </w:r>
          </w:p>
          <w:p w14:paraId="03F87B2A" w14:textId="28756315" w:rsidR="00143E0C" w:rsidRPr="00143E0C" w:rsidRDefault="00D90A99" w:rsidP="00143E0C">
            <w:pPr>
              <w:pStyle w:val="ListParagraph"/>
              <w:numPr>
                <w:ilvl w:val="0"/>
                <w:numId w:val="37"/>
              </w:numPr>
              <w:spacing w:after="0"/>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t>Third p</w:t>
            </w:r>
            <w:r w:rsidR="00143E0C" w:rsidRPr="00143E0C">
              <w:rPr>
                <w:rFonts w:cstheme="minorHAnsi"/>
                <w:sz w:val="22"/>
                <w:szCs w:val="22"/>
              </w:rPr>
              <w:t xml:space="preserve">arty arrangements </w:t>
            </w:r>
          </w:p>
          <w:p w14:paraId="6E99A02B" w14:textId="77777777" w:rsidR="00143E0C" w:rsidRPr="00143E0C" w:rsidRDefault="00143E0C" w:rsidP="00143E0C">
            <w:pPr>
              <w:pStyle w:val="ListParagraph"/>
              <w:numPr>
                <w:ilvl w:val="0"/>
                <w:numId w:val="37"/>
              </w:numPr>
              <w:spacing w:after="0"/>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143E0C">
              <w:rPr>
                <w:rFonts w:cstheme="minorHAnsi"/>
                <w:sz w:val="22"/>
                <w:szCs w:val="22"/>
              </w:rPr>
              <w:t>OVIC reporting</w:t>
            </w:r>
          </w:p>
          <w:p w14:paraId="3BEAAB71" w14:textId="4C9A82B1" w:rsidR="00143E0C" w:rsidRPr="00143E0C" w:rsidRDefault="00143E0C" w:rsidP="00143E0C">
            <w:pPr>
              <w:pStyle w:val="ListParagraph"/>
              <w:numPr>
                <w:ilvl w:val="0"/>
                <w:numId w:val="37"/>
              </w:numPr>
              <w:spacing w:after="0"/>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143E0C">
              <w:rPr>
                <w:rFonts w:cstheme="minorHAnsi"/>
                <w:sz w:val="22"/>
                <w:szCs w:val="22"/>
              </w:rPr>
              <w:t>Personnel</w:t>
            </w:r>
            <w:r w:rsidR="00D90A99">
              <w:rPr>
                <w:rFonts w:cstheme="minorHAnsi"/>
                <w:sz w:val="22"/>
                <w:szCs w:val="22"/>
              </w:rPr>
              <w:t xml:space="preserve"> s</w:t>
            </w:r>
            <w:r w:rsidRPr="00143E0C">
              <w:rPr>
                <w:rFonts w:cstheme="minorHAnsi"/>
                <w:sz w:val="22"/>
                <w:szCs w:val="22"/>
              </w:rPr>
              <w:t xml:space="preserve">ecurity </w:t>
            </w:r>
          </w:p>
          <w:p w14:paraId="26019A2D" w14:textId="48C8D64D" w:rsidR="00143E0C" w:rsidRDefault="00D90A99" w:rsidP="00143E0C">
            <w:pPr>
              <w:pStyle w:val="ListParagraph"/>
              <w:numPr>
                <w:ilvl w:val="0"/>
                <w:numId w:val="37"/>
              </w:numPr>
              <w:spacing w:after="0"/>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t>Physical s</w:t>
            </w:r>
            <w:r w:rsidR="00143E0C" w:rsidRPr="00143E0C">
              <w:rPr>
                <w:rFonts w:cstheme="minorHAnsi"/>
                <w:sz w:val="22"/>
                <w:szCs w:val="22"/>
              </w:rPr>
              <w:t>ecurity</w:t>
            </w:r>
          </w:p>
          <w:p w14:paraId="23B6156F" w14:textId="79C632C5" w:rsidR="00143E0C" w:rsidRPr="00143E0C" w:rsidRDefault="00D90A99" w:rsidP="00143E0C">
            <w:pPr>
              <w:pStyle w:val="ListParagraph"/>
              <w:numPr>
                <w:ilvl w:val="0"/>
                <w:numId w:val="37"/>
              </w:numPr>
              <w:spacing w:after="0"/>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t>ICT s</w:t>
            </w:r>
            <w:r w:rsidR="00143E0C" w:rsidRPr="00143E0C">
              <w:rPr>
                <w:rFonts w:cstheme="minorHAnsi"/>
                <w:sz w:val="22"/>
                <w:szCs w:val="22"/>
              </w:rPr>
              <w:t>ecurity</w:t>
            </w:r>
            <w:r w:rsidR="00BB10D2">
              <w:rPr>
                <w:rFonts w:cstheme="minorHAnsi"/>
                <w:sz w:val="22"/>
                <w:szCs w:val="22"/>
              </w:rPr>
              <w:t xml:space="preserve"> </w:t>
            </w:r>
          </w:p>
        </w:tc>
      </w:tr>
      <w:tr w:rsidR="00143E0C" w:rsidRPr="002C22BE" w14:paraId="3330375B" w14:textId="77777777" w:rsidTr="00F16F22">
        <w:tc>
          <w:tcPr>
            <w:cnfStyle w:val="001000000000" w:firstRow="0" w:lastRow="0" w:firstColumn="1" w:lastColumn="0" w:oddVBand="0" w:evenVBand="0" w:oddHBand="0" w:evenHBand="0" w:firstRowFirstColumn="0" w:firstRowLastColumn="0" w:lastRowFirstColumn="0" w:lastRowLastColumn="0"/>
            <w:tcW w:w="3207" w:type="dxa"/>
            <w:vMerge/>
          </w:tcPr>
          <w:p w14:paraId="369F8F79" w14:textId="77777777" w:rsidR="00143E0C" w:rsidRPr="00143E0C" w:rsidRDefault="00143E0C" w:rsidP="00143E0C">
            <w:pPr>
              <w:rPr>
                <w:rFonts w:cstheme="minorHAnsi"/>
                <w:sz w:val="22"/>
                <w:szCs w:val="22"/>
              </w:rPr>
            </w:pPr>
          </w:p>
        </w:tc>
        <w:tc>
          <w:tcPr>
            <w:tcW w:w="2884" w:type="dxa"/>
          </w:tcPr>
          <w:p w14:paraId="224FE91B" w14:textId="7FEBBE27" w:rsidR="00143E0C" w:rsidRPr="00143E0C" w:rsidRDefault="00143E0C" w:rsidP="00143E0C">
            <w:pP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143E0C">
              <w:rPr>
                <w:rFonts w:cstheme="minorHAnsi"/>
                <w:sz w:val="22"/>
                <w:szCs w:val="22"/>
              </w:rPr>
              <w:t>Records Management (RM) Framework</w:t>
            </w:r>
          </w:p>
        </w:tc>
        <w:tc>
          <w:tcPr>
            <w:tcW w:w="3969" w:type="dxa"/>
          </w:tcPr>
          <w:p w14:paraId="6EAE639C" w14:textId="7445B78D" w:rsidR="00143E0C" w:rsidRPr="00143E0C" w:rsidRDefault="00D90A99" w:rsidP="00143E0C">
            <w:pPr>
              <w:pStyle w:val="ListParagraph"/>
              <w:numPr>
                <w:ilvl w:val="0"/>
                <w:numId w:val="37"/>
              </w:numPr>
              <w:spacing w:after="0"/>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t>RM strategy, policy and p</w:t>
            </w:r>
            <w:r w:rsidR="00143E0C" w:rsidRPr="00143E0C">
              <w:rPr>
                <w:rFonts w:cstheme="minorHAnsi"/>
                <w:sz w:val="22"/>
                <w:szCs w:val="22"/>
              </w:rPr>
              <w:t>rocedures</w:t>
            </w:r>
          </w:p>
        </w:tc>
      </w:tr>
    </w:tbl>
    <w:p w14:paraId="6B769066" w14:textId="2AD519CE" w:rsidR="004D7D90" w:rsidRDefault="004D7D90" w:rsidP="00A65927">
      <w:pPr>
        <w:rPr>
          <w:color w:val="E74F3C" w:themeColor="accent3"/>
          <w:sz w:val="28"/>
          <w:szCs w:val="28"/>
          <w:lang w:val="en-AU"/>
        </w:rPr>
      </w:pPr>
    </w:p>
    <w:p w14:paraId="079644AB" w14:textId="77777777" w:rsidR="00277A3E" w:rsidRDefault="00277A3E" w:rsidP="00A65927">
      <w:pPr>
        <w:rPr>
          <w:color w:val="E74F3C" w:themeColor="accent3"/>
          <w:sz w:val="28"/>
          <w:szCs w:val="28"/>
          <w:lang w:val="en-AU"/>
        </w:rPr>
      </w:pPr>
    </w:p>
    <w:tbl>
      <w:tblPr>
        <w:tblStyle w:val="TableGrid"/>
        <w:tblW w:w="0" w:type="auto"/>
        <w:tblLook w:val="04A0" w:firstRow="1" w:lastRow="0" w:firstColumn="1" w:lastColumn="0" w:noHBand="0" w:noVBand="1"/>
      </w:tblPr>
      <w:tblGrid>
        <w:gridCol w:w="4811"/>
        <w:gridCol w:w="4811"/>
      </w:tblGrid>
      <w:tr w:rsidR="00143E0C" w:rsidRPr="00143E0C" w14:paraId="72B80C8E" w14:textId="77777777" w:rsidTr="00143E0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1" w:type="dxa"/>
          </w:tcPr>
          <w:p w14:paraId="683B851A" w14:textId="6BD3BD2F" w:rsidR="00143E0C" w:rsidRPr="00143E0C" w:rsidRDefault="00143E0C" w:rsidP="00A65927">
            <w:pPr>
              <w:rPr>
                <w:sz w:val="22"/>
                <w:szCs w:val="22"/>
                <w:lang w:val="en-AU"/>
              </w:rPr>
            </w:pPr>
            <w:r w:rsidRPr="00143E0C">
              <w:rPr>
                <w:sz w:val="22"/>
                <w:szCs w:val="22"/>
                <w:lang w:val="en-AU"/>
              </w:rPr>
              <w:t>Document Panel</w:t>
            </w:r>
          </w:p>
        </w:tc>
        <w:tc>
          <w:tcPr>
            <w:tcW w:w="4811" w:type="dxa"/>
          </w:tcPr>
          <w:p w14:paraId="4E6E2617" w14:textId="77777777" w:rsidR="00143E0C" w:rsidRPr="00143E0C" w:rsidRDefault="00143E0C" w:rsidP="00A65927">
            <w:pPr>
              <w:cnfStyle w:val="100000000000" w:firstRow="1" w:lastRow="0" w:firstColumn="0" w:lastColumn="0" w:oddVBand="0" w:evenVBand="0" w:oddHBand="0" w:evenHBand="0" w:firstRowFirstColumn="0" w:firstRowLastColumn="0" w:lastRowFirstColumn="0" w:lastRowLastColumn="0"/>
              <w:rPr>
                <w:sz w:val="22"/>
                <w:szCs w:val="22"/>
                <w:lang w:val="en-AU"/>
              </w:rPr>
            </w:pPr>
          </w:p>
        </w:tc>
      </w:tr>
      <w:tr w:rsidR="00143E0C" w14:paraId="7F31C9AB" w14:textId="77777777" w:rsidTr="00143E0C">
        <w:tc>
          <w:tcPr>
            <w:cnfStyle w:val="001000000000" w:firstRow="0" w:lastRow="0" w:firstColumn="1" w:lastColumn="0" w:oddVBand="0" w:evenVBand="0" w:oddHBand="0" w:evenHBand="0" w:firstRowFirstColumn="0" w:firstRowLastColumn="0" w:lastRowFirstColumn="0" w:lastRowLastColumn="0"/>
            <w:tcW w:w="4811" w:type="dxa"/>
          </w:tcPr>
          <w:p w14:paraId="19C69960" w14:textId="5F4A765C" w:rsidR="00143E0C" w:rsidRPr="00143E0C" w:rsidRDefault="00143E0C" w:rsidP="00143E0C">
            <w:pPr>
              <w:spacing w:after="0"/>
              <w:rPr>
                <w:rFonts w:cstheme="minorHAnsi"/>
                <w:color w:val="E74F3C" w:themeColor="accent3"/>
                <w:sz w:val="22"/>
                <w:szCs w:val="22"/>
                <w:lang w:val="en-AU"/>
              </w:rPr>
            </w:pPr>
            <w:r w:rsidRPr="00143E0C">
              <w:rPr>
                <w:rStyle w:val="Tablecolour"/>
                <w:rFonts w:asciiTheme="minorHAnsi" w:hAnsiTheme="minorHAnsi" w:cstheme="minorHAnsi"/>
                <w:sz w:val="22"/>
                <w:szCs w:val="22"/>
                <w:lang w:eastAsia="en-AU"/>
              </w:rPr>
              <w:t xml:space="preserve">Version </w:t>
            </w:r>
          </w:p>
        </w:tc>
        <w:tc>
          <w:tcPr>
            <w:tcW w:w="4811" w:type="dxa"/>
          </w:tcPr>
          <w:p w14:paraId="72F6C007" w14:textId="46AB963E" w:rsidR="00143E0C" w:rsidRPr="00143E0C" w:rsidRDefault="00143E0C" w:rsidP="00143E0C">
            <w:pPr>
              <w:spacing w:after="0"/>
              <w:cnfStyle w:val="000000000000" w:firstRow="0" w:lastRow="0" w:firstColumn="0" w:lastColumn="0" w:oddVBand="0" w:evenVBand="0" w:oddHBand="0" w:evenHBand="0" w:firstRowFirstColumn="0" w:firstRowLastColumn="0" w:lastRowFirstColumn="0" w:lastRowLastColumn="0"/>
              <w:rPr>
                <w:rFonts w:cstheme="minorHAnsi"/>
                <w:color w:val="E74F3C" w:themeColor="accent3"/>
                <w:sz w:val="22"/>
                <w:szCs w:val="22"/>
                <w:lang w:val="en-AU"/>
              </w:rPr>
            </w:pPr>
            <w:r w:rsidRPr="00143E0C">
              <w:rPr>
                <w:rFonts w:cstheme="minorHAnsi"/>
                <w:sz w:val="22"/>
                <w:szCs w:val="22"/>
              </w:rPr>
              <w:t xml:space="preserve"> V4.0</w:t>
            </w:r>
          </w:p>
        </w:tc>
      </w:tr>
      <w:tr w:rsidR="00143E0C" w14:paraId="44DF4EAB" w14:textId="77777777" w:rsidTr="00143E0C">
        <w:tc>
          <w:tcPr>
            <w:cnfStyle w:val="001000000000" w:firstRow="0" w:lastRow="0" w:firstColumn="1" w:lastColumn="0" w:oddVBand="0" w:evenVBand="0" w:oddHBand="0" w:evenHBand="0" w:firstRowFirstColumn="0" w:firstRowLastColumn="0" w:lastRowFirstColumn="0" w:lastRowLastColumn="0"/>
            <w:tcW w:w="4811" w:type="dxa"/>
          </w:tcPr>
          <w:p w14:paraId="3412B283" w14:textId="3FAF94CD" w:rsidR="00143E0C" w:rsidRPr="00143E0C" w:rsidRDefault="00143E0C" w:rsidP="00143E0C">
            <w:pPr>
              <w:spacing w:after="0"/>
              <w:rPr>
                <w:rFonts w:cstheme="minorHAnsi"/>
                <w:color w:val="E74F3C" w:themeColor="accent3"/>
                <w:sz w:val="22"/>
                <w:szCs w:val="22"/>
                <w:lang w:val="en-AU"/>
              </w:rPr>
            </w:pPr>
            <w:r w:rsidRPr="00143E0C">
              <w:rPr>
                <w:rStyle w:val="Tablecolour"/>
                <w:rFonts w:asciiTheme="minorHAnsi" w:hAnsiTheme="minorHAnsi" w:cstheme="minorHAnsi"/>
                <w:sz w:val="22"/>
                <w:szCs w:val="22"/>
                <w:lang w:eastAsia="en-AU"/>
              </w:rPr>
              <w:t>Approved by Executive on</w:t>
            </w:r>
          </w:p>
        </w:tc>
        <w:tc>
          <w:tcPr>
            <w:tcW w:w="4811" w:type="dxa"/>
          </w:tcPr>
          <w:p w14:paraId="4C571C23" w14:textId="53204C3E" w:rsidR="00143E0C" w:rsidRPr="00143E0C" w:rsidRDefault="00143E0C" w:rsidP="00143E0C">
            <w:pPr>
              <w:spacing w:after="0"/>
              <w:cnfStyle w:val="000000000000" w:firstRow="0" w:lastRow="0" w:firstColumn="0" w:lastColumn="0" w:oddVBand="0" w:evenVBand="0" w:oddHBand="0" w:evenHBand="0" w:firstRowFirstColumn="0" w:firstRowLastColumn="0" w:lastRowFirstColumn="0" w:lastRowLastColumn="0"/>
              <w:rPr>
                <w:rFonts w:cstheme="minorHAnsi"/>
                <w:color w:val="E74F3C" w:themeColor="accent3"/>
                <w:sz w:val="22"/>
                <w:szCs w:val="22"/>
                <w:lang w:val="en-AU"/>
              </w:rPr>
            </w:pPr>
            <w:r w:rsidRPr="00143E0C">
              <w:rPr>
                <w:rFonts w:cstheme="minorHAnsi"/>
                <w:sz w:val="22"/>
                <w:szCs w:val="22"/>
              </w:rPr>
              <w:t xml:space="preserve">Scheduled </w:t>
            </w:r>
            <w:r w:rsidR="009A5F2B">
              <w:rPr>
                <w:rFonts w:cstheme="minorHAnsi"/>
                <w:sz w:val="22"/>
                <w:szCs w:val="22"/>
              </w:rPr>
              <w:t>27/01/21</w:t>
            </w:r>
          </w:p>
        </w:tc>
      </w:tr>
      <w:tr w:rsidR="00143E0C" w14:paraId="0260CDC0" w14:textId="77777777" w:rsidTr="00143E0C">
        <w:tc>
          <w:tcPr>
            <w:cnfStyle w:val="001000000000" w:firstRow="0" w:lastRow="0" w:firstColumn="1" w:lastColumn="0" w:oddVBand="0" w:evenVBand="0" w:oddHBand="0" w:evenHBand="0" w:firstRowFirstColumn="0" w:firstRowLastColumn="0" w:lastRowFirstColumn="0" w:lastRowLastColumn="0"/>
            <w:tcW w:w="4811" w:type="dxa"/>
          </w:tcPr>
          <w:p w14:paraId="45D9DBCC" w14:textId="7E33D2AE" w:rsidR="00143E0C" w:rsidRPr="00143E0C" w:rsidRDefault="00143E0C" w:rsidP="00143E0C">
            <w:pPr>
              <w:spacing w:after="0"/>
              <w:rPr>
                <w:rFonts w:cstheme="minorHAnsi"/>
                <w:color w:val="E74F3C" w:themeColor="accent3"/>
                <w:sz w:val="22"/>
                <w:szCs w:val="22"/>
                <w:lang w:val="en-AU"/>
              </w:rPr>
            </w:pPr>
            <w:r w:rsidRPr="00143E0C">
              <w:rPr>
                <w:rStyle w:val="Tablecolour"/>
                <w:rFonts w:asciiTheme="minorHAnsi" w:hAnsiTheme="minorHAnsi" w:cstheme="minorHAnsi"/>
                <w:sz w:val="22"/>
                <w:szCs w:val="22"/>
                <w:lang w:eastAsia="en-AU"/>
              </w:rPr>
              <w:t xml:space="preserve">Approved by Commission on </w:t>
            </w:r>
          </w:p>
        </w:tc>
        <w:tc>
          <w:tcPr>
            <w:tcW w:w="4811" w:type="dxa"/>
          </w:tcPr>
          <w:p w14:paraId="51D20D9B" w14:textId="5BB952CE" w:rsidR="00143E0C" w:rsidRPr="00143E0C" w:rsidRDefault="00143E0C" w:rsidP="00143E0C">
            <w:pPr>
              <w:spacing w:after="0"/>
              <w:cnfStyle w:val="000000000000" w:firstRow="0" w:lastRow="0" w:firstColumn="0" w:lastColumn="0" w:oddVBand="0" w:evenVBand="0" w:oddHBand="0" w:evenHBand="0" w:firstRowFirstColumn="0" w:firstRowLastColumn="0" w:lastRowFirstColumn="0" w:lastRowLastColumn="0"/>
              <w:rPr>
                <w:rFonts w:cstheme="minorHAnsi"/>
                <w:color w:val="E74F3C" w:themeColor="accent3"/>
                <w:sz w:val="22"/>
                <w:szCs w:val="22"/>
                <w:lang w:val="en-AU"/>
              </w:rPr>
            </w:pPr>
            <w:r w:rsidRPr="00143E0C">
              <w:rPr>
                <w:rFonts w:cstheme="minorHAnsi"/>
                <w:sz w:val="22"/>
                <w:szCs w:val="22"/>
              </w:rPr>
              <w:t>Scheduled</w:t>
            </w:r>
            <w:r w:rsidR="009A5F2B">
              <w:rPr>
                <w:rFonts w:cstheme="minorHAnsi"/>
                <w:sz w:val="22"/>
                <w:szCs w:val="22"/>
              </w:rPr>
              <w:t xml:space="preserve"> 25/02/21</w:t>
            </w:r>
          </w:p>
        </w:tc>
      </w:tr>
      <w:tr w:rsidR="00143E0C" w14:paraId="326A234B" w14:textId="77777777" w:rsidTr="00143E0C">
        <w:tc>
          <w:tcPr>
            <w:cnfStyle w:val="001000000000" w:firstRow="0" w:lastRow="0" w:firstColumn="1" w:lastColumn="0" w:oddVBand="0" w:evenVBand="0" w:oddHBand="0" w:evenHBand="0" w:firstRowFirstColumn="0" w:firstRowLastColumn="0" w:lastRowFirstColumn="0" w:lastRowLastColumn="0"/>
            <w:tcW w:w="4811" w:type="dxa"/>
          </w:tcPr>
          <w:p w14:paraId="79132B71" w14:textId="5F558557" w:rsidR="00143E0C" w:rsidRPr="00143E0C" w:rsidRDefault="00143E0C" w:rsidP="00143E0C">
            <w:pPr>
              <w:spacing w:after="0"/>
              <w:rPr>
                <w:rStyle w:val="Tablecolour"/>
                <w:rFonts w:asciiTheme="minorHAnsi" w:hAnsiTheme="minorHAnsi" w:cstheme="minorHAnsi"/>
                <w:sz w:val="22"/>
                <w:szCs w:val="22"/>
                <w:lang w:eastAsia="en-AU"/>
              </w:rPr>
            </w:pPr>
            <w:r w:rsidRPr="00143E0C">
              <w:rPr>
                <w:rStyle w:val="Tablecolour"/>
                <w:rFonts w:asciiTheme="minorHAnsi" w:hAnsiTheme="minorHAnsi" w:cstheme="minorHAnsi"/>
                <w:sz w:val="22"/>
                <w:szCs w:val="22"/>
                <w:lang w:eastAsia="en-AU"/>
              </w:rPr>
              <w:t>Document owner:</w:t>
            </w:r>
          </w:p>
        </w:tc>
        <w:tc>
          <w:tcPr>
            <w:tcW w:w="4811" w:type="dxa"/>
          </w:tcPr>
          <w:p w14:paraId="6F768F73" w14:textId="6EE93B56" w:rsidR="00143E0C" w:rsidRPr="00143E0C" w:rsidRDefault="00143E0C" w:rsidP="00143E0C">
            <w:pPr>
              <w:spacing w:after="0"/>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143E0C">
              <w:rPr>
                <w:rFonts w:cstheme="minorHAnsi"/>
                <w:sz w:val="22"/>
                <w:szCs w:val="22"/>
              </w:rPr>
              <w:t>Governance &amp; Reporting Manager, Corporate Services</w:t>
            </w:r>
          </w:p>
        </w:tc>
      </w:tr>
    </w:tbl>
    <w:p w14:paraId="2E042E4C" w14:textId="77777777" w:rsidR="00143E0C" w:rsidRPr="00DB706C" w:rsidRDefault="00143E0C" w:rsidP="00A65927">
      <w:pPr>
        <w:rPr>
          <w:color w:val="E74F3C" w:themeColor="accent3"/>
          <w:sz w:val="28"/>
          <w:szCs w:val="28"/>
          <w:lang w:val="en-AU"/>
        </w:rPr>
      </w:pPr>
    </w:p>
    <w:sectPr w:rsidR="00143E0C" w:rsidRPr="00DB706C" w:rsidSect="00C222E9">
      <w:headerReference w:type="default" r:id="rId18"/>
      <w:footerReference w:type="default" r:id="rId19"/>
      <w:pgSz w:w="11900" w:h="16840"/>
      <w:pgMar w:top="1134"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2250C0" w14:textId="77777777" w:rsidR="00A56867" w:rsidRDefault="00A56867" w:rsidP="003967DD">
      <w:pPr>
        <w:spacing w:after="0"/>
      </w:pPr>
      <w:r>
        <w:separator/>
      </w:r>
    </w:p>
  </w:endnote>
  <w:endnote w:type="continuationSeparator" w:id="0">
    <w:p w14:paraId="2A70CF81" w14:textId="77777777" w:rsidR="00A56867" w:rsidRDefault="00A56867"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Times New Roman (Headings CS)">
    <w:altName w:val="Times New Roman"/>
    <w:charset w:val="00"/>
    <w:family w:val="roman"/>
    <w:pitch w:val="default"/>
  </w:font>
  <w:font w:name="Arial (Body)">
    <w:altName w:val="Arial"/>
    <w:charset w:val="00"/>
    <w:family w:val="roman"/>
    <w:pitch w:val="default"/>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A36CB5" w14:textId="77777777" w:rsidR="006645E9" w:rsidRDefault="006645E9" w:rsidP="00034603">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6645E9" w:rsidRDefault="006645E9"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D3DEB7" w14:textId="7DDA3304" w:rsidR="006645E9" w:rsidRPr="00F9473B" w:rsidRDefault="006645E9" w:rsidP="00F9473B">
    <w:pPr>
      <w:pStyle w:val="Footer"/>
      <w:rPr>
        <w:color w:val="FFFFFF" w:themeColor="background1"/>
      </w:rPr>
    </w:pPr>
    <w:r w:rsidRPr="00F9473B">
      <w:rPr>
        <w:noProof/>
        <w:color w:val="FFFFFF" w:themeColor="background1"/>
      </w:rPr>
      <w:drawing>
        <wp:anchor distT="0" distB="0" distL="114300" distR="114300" simplePos="0" relativeHeight="251667456" behindDoc="1" locked="0" layoutInCell="1" allowOverlap="1" wp14:anchorId="333243CD" wp14:editId="2BF787E4">
          <wp:simplePos x="0" y="0"/>
          <wp:positionH relativeFrom="column">
            <wp:posOffset>-726440</wp:posOffset>
          </wp:positionH>
          <wp:positionV relativeFrom="paragraph">
            <wp:posOffset>-7524750</wp:posOffset>
          </wp:positionV>
          <wp:extent cx="7559675" cy="8227498"/>
          <wp:effectExtent l="0" t="0" r="0" b="2540"/>
          <wp:wrapNone/>
          <wp:docPr id="32" name="Picture 32" descr="A picture containing computer,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rd template component_report green.jpg"/>
                  <pic:cNvPicPr/>
                </pic:nvPicPr>
                <pic:blipFill rotWithShape="1">
                  <a:blip r:embed="rId1" cstate="screen">
                    <a:extLst>
                      <a:ext uri="{28A0092B-C50C-407E-A947-70E740481C1C}">
                        <a14:useLocalDpi xmlns:a14="http://schemas.microsoft.com/office/drawing/2010/main"/>
                      </a:ext>
                    </a:extLst>
                  </a:blip>
                  <a:srcRect/>
                  <a:stretch/>
                </pic:blipFill>
                <pic:spPr bwMode="auto">
                  <a:xfrm>
                    <a:off x="0" y="0"/>
                    <a:ext cx="7559675" cy="822749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Style w:val="PageNumber"/>
        <w:color w:val="FFFFFF" w:themeColor="background1"/>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432B96" w14:textId="77777777" w:rsidR="00091684" w:rsidRDefault="0009168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4218E0" w14:textId="2BA91BD9" w:rsidR="006645E9" w:rsidRDefault="006645E9" w:rsidP="00034603">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2F1C55">
      <w:rPr>
        <w:rStyle w:val="PageNumber"/>
        <w:noProof/>
      </w:rPr>
      <w:t>2</w:t>
    </w:r>
    <w:r>
      <w:rPr>
        <w:rStyle w:val="PageNumber"/>
      </w:rPr>
      <w:fldChar w:fldCharType="end"/>
    </w:r>
  </w:p>
  <w:p w14:paraId="68C10D1C" w14:textId="4AFEF888" w:rsidR="006645E9" w:rsidRDefault="006645E9" w:rsidP="00A31926">
    <w:pPr>
      <w:pStyle w:val="Footer"/>
      <w:ind w:firstLine="360"/>
    </w:pPr>
    <w:r>
      <w:rPr>
        <w:noProof/>
      </w:rPr>
      <w:drawing>
        <wp:anchor distT="0" distB="0" distL="114300" distR="114300" simplePos="0" relativeHeight="251663360" behindDoc="1" locked="0" layoutInCell="1" allowOverlap="1" wp14:anchorId="32915857" wp14:editId="17649BED">
          <wp:simplePos x="0" y="0"/>
          <wp:positionH relativeFrom="column">
            <wp:posOffset>-725805</wp:posOffset>
          </wp:positionH>
          <wp:positionV relativeFrom="paragraph">
            <wp:posOffset>480695</wp:posOffset>
          </wp:positionV>
          <wp:extent cx="7559675" cy="221914"/>
          <wp:effectExtent l="0" t="0" r="0" b="0"/>
          <wp:wrapNone/>
          <wp:docPr id="35" name="Picture 35"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CGLR Word templates components_blue.jpg"/>
                  <pic:cNvPicPr/>
                </pic:nvPicPr>
                <pic:blipFill rotWithShape="1">
                  <a:blip r:embed="rId1" cstate="screen">
                    <a:extLst>
                      <a:ext uri="{28A0092B-C50C-407E-A947-70E740481C1C}">
                        <a14:useLocalDpi xmlns:a14="http://schemas.microsoft.com/office/drawing/2010/main"/>
                      </a:ext>
                    </a:extLst>
                  </a:blip>
                  <a:srcRect/>
                  <a:stretch/>
                </pic:blipFill>
                <pic:spPr bwMode="auto">
                  <a:xfrm>
                    <a:off x="0" y="0"/>
                    <a:ext cx="7559675" cy="22191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4A8FEC" w14:textId="73193EE4" w:rsidR="006645E9" w:rsidRDefault="006645E9" w:rsidP="00034603">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2F1C55">
      <w:rPr>
        <w:rStyle w:val="PageNumber"/>
        <w:noProof/>
      </w:rPr>
      <w:t>9</w:t>
    </w:r>
    <w:r>
      <w:rPr>
        <w:rStyle w:val="PageNumber"/>
      </w:rPr>
      <w:fldChar w:fldCharType="end"/>
    </w:r>
  </w:p>
  <w:p w14:paraId="03804AA6" w14:textId="733F4E52" w:rsidR="006645E9" w:rsidRDefault="006645E9" w:rsidP="00A31926">
    <w:pPr>
      <w:pStyle w:val="Footer"/>
      <w:ind w:firstLine="360"/>
    </w:pPr>
    <w:r>
      <w:rPr>
        <w:noProof/>
      </w:rPr>
      <w:drawing>
        <wp:anchor distT="0" distB="0" distL="114300" distR="114300" simplePos="0" relativeHeight="251665408" behindDoc="1" locked="0" layoutInCell="1" allowOverlap="1" wp14:anchorId="38BBD1FC" wp14:editId="774619A2">
          <wp:simplePos x="0" y="0"/>
          <wp:positionH relativeFrom="column">
            <wp:posOffset>-725805</wp:posOffset>
          </wp:positionH>
          <wp:positionV relativeFrom="paragraph">
            <wp:posOffset>480695</wp:posOffset>
          </wp:positionV>
          <wp:extent cx="7559675" cy="221914"/>
          <wp:effectExtent l="0" t="0" r="0" b="0"/>
          <wp:wrapNone/>
          <wp:docPr id="12" name="Picture 1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CGLR Word templates components_blue.jpg"/>
                  <pic:cNvPicPr/>
                </pic:nvPicPr>
                <pic:blipFill rotWithShape="1">
                  <a:blip r:embed="rId1" cstate="screen">
                    <a:extLst>
                      <a:ext uri="{28A0092B-C50C-407E-A947-70E740481C1C}">
                        <a14:useLocalDpi xmlns:a14="http://schemas.microsoft.com/office/drawing/2010/main"/>
                      </a:ext>
                    </a:extLst>
                  </a:blip>
                  <a:srcRect/>
                  <a:stretch/>
                </pic:blipFill>
                <pic:spPr bwMode="auto">
                  <a:xfrm>
                    <a:off x="0" y="0"/>
                    <a:ext cx="7559675" cy="22191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3600" behindDoc="1" locked="0" layoutInCell="1" allowOverlap="1" wp14:anchorId="5EAC8949" wp14:editId="061BAB37">
          <wp:simplePos x="0" y="0"/>
          <wp:positionH relativeFrom="column">
            <wp:posOffset>-725805</wp:posOffset>
          </wp:positionH>
          <wp:positionV relativeFrom="paragraph">
            <wp:posOffset>480695</wp:posOffset>
          </wp:positionV>
          <wp:extent cx="7559675" cy="221914"/>
          <wp:effectExtent l="0" t="0" r="0" b="0"/>
          <wp:wrapNone/>
          <wp:docPr id="5" name="Picture 5"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CGLR Word templates components_blue.jpg"/>
                  <pic:cNvPicPr/>
                </pic:nvPicPr>
                <pic:blipFill rotWithShape="1">
                  <a:blip r:embed="rId1" cstate="screen">
                    <a:extLst>
                      <a:ext uri="{28A0092B-C50C-407E-A947-70E740481C1C}">
                        <a14:useLocalDpi xmlns:a14="http://schemas.microsoft.com/office/drawing/2010/main"/>
                      </a:ext>
                    </a:extLst>
                  </a:blip>
                  <a:srcRect/>
                  <a:stretch/>
                </pic:blipFill>
                <pic:spPr bwMode="auto">
                  <a:xfrm>
                    <a:off x="0" y="0"/>
                    <a:ext cx="7559675" cy="22191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F77F9F" w14:textId="77777777" w:rsidR="00A56867" w:rsidRDefault="00A56867" w:rsidP="003967DD">
      <w:pPr>
        <w:spacing w:after="0"/>
      </w:pPr>
      <w:r>
        <w:separator/>
      </w:r>
    </w:p>
  </w:footnote>
  <w:footnote w:type="continuationSeparator" w:id="0">
    <w:p w14:paraId="43EAA747" w14:textId="77777777" w:rsidR="00A56867" w:rsidRDefault="00A56867" w:rsidP="003967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61BE91" w14:textId="77777777" w:rsidR="00091684" w:rsidRDefault="0009168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807430" w14:textId="3FF67DEC" w:rsidR="006645E9" w:rsidRPr="00F9473B" w:rsidRDefault="00091684" w:rsidP="00F9473B">
    <w:pPr>
      <w:pStyle w:val="Header"/>
      <w:jc w:val="right"/>
      <w:rPr>
        <w:lang w:val="en-AU"/>
      </w:rPr>
    </w:pPr>
    <w:r>
      <w:rPr>
        <w:lang w:val="en-AU"/>
      </w:rPr>
      <w:t>TRIM ID: CD/21/360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F6C5BC" w14:textId="77777777" w:rsidR="00091684" w:rsidRDefault="0009168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4DB75B" w14:textId="77777777" w:rsidR="006645E9" w:rsidRDefault="006645E9">
    <w:pPr>
      <w:pStyle w:val="Header"/>
    </w:pPr>
    <w:r>
      <w:rPr>
        <w:noProof/>
      </w:rPr>
      <w:drawing>
        <wp:anchor distT="0" distB="0" distL="114300" distR="114300" simplePos="0" relativeHeight="251677696" behindDoc="1" locked="0" layoutInCell="1" allowOverlap="1" wp14:anchorId="65800768" wp14:editId="3DE57691">
          <wp:simplePos x="0" y="0"/>
          <wp:positionH relativeFrom="column">
            <wp:posOffset>-725805</wp:posOffset>
          </wp:positionH>
          <wp:positionV relativeFrom="paragraph">
            <wp:posOffset>-443230</wp:posOffset>
          </wp:positionV>
          <wp:extent cx="7559675" cy="228600"/>
          <wp:effectExtent l="0" t="0" r="0" b="0"/>
          <wp:wrapNone/>
          <wp:docPr id="38" name="Picture 38"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VCGLR Word templates components2.jpg"/>
                  <pic:cNvPicPr/>
                </pic:nvPicPr>
                <pic:blipFill rotWithShape="1">
                  <a:blip r:embed="rId1" cstate="screen">
                    <a:extLst>
                      <a:ext uri="{28A0092B-C50C-407E-A947-70E740481C1C}">
                        <a14:useLocalDpi xmlns:a14="http://schemas.microsoft.com/office/drawing/2010/main"/>
                      </a:ext>
                    </a:extLst>
                  </a:blip>
                  <a:srcRect/>
                  <a:stretch/>
                </pic:blipFill>
                <pic:spPr bwMode="auto">
                  <a:xfrm>
                    <a:off x="0" y="0"/>
                    <a:ext cx="7559675" cy="2286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9C8440" w14:textId="5CD2A778" w:rsidR="006645E9" w:rsidRDefault="006645E9">
    <w:pPr>
      <w:pStyle w:val="Header"/>
    </w:pPr>
    <w:r>
      <w:rPr>
        <w:noProof/>
      </w:rPr>
      <w:drawing>
        <wp:anchor distT="0" distB="0" distL="114300" distR="114300" simplePos="0" relativeHeight="251671552" behindDoc="1" locked="0" layoutInCell="1" allowOverlap="1" wp14:anchorId="498A386E" wp14:editId="186F7C8A">
          <wp:simplePos x="0" y="0"/>
          <wp:positionH relativeFrom="column">
            <wp:posOffset>-725805</wp:posOffset>
          </wp:positionH>
          <wp:positionV relativeFrom="paragraph">
            <wp:posOffset>-443865</wp:posOffset>
          </wp:positionV>
          <wp:extent cx="7559675" cy="228600"/>
          <wp:effectExtent l="0" t="0" r="0" b="0"/>
          <wp:wrapNone/>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VCGLR Word templates components2.jpg"/>
                  <pic:cNvPicPr/>
                </pic:nvPicPr>
                <pic:blipFill rotWithShape="1">
                  <a:blip r:embed="rId1" cstate="screen">
                    <a:extLst>
                      <a:ext uri="{28A0092B-C50C-407E-A947-70E740481C1C}">
                        <a14:useLocalDpi xmlns:a14="http://schemas.microsoft.com/office/drawing/2010/main"/>
                      </a:ext>
                    </a:extLst>
                  </a:blip>
                  <a:srcRect/>
                  <a:stretch/>
                </pic:blipFill>
                <pic:spPr bwMode="auto">
                  <a:xfrm>
                    <a:off x="0" y="0"/>
                    <a:ext cx="7559675" cy="2286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1775673"/>
    <w:multiLevelType w:val="hybridMultilevel"/>
    <w:tmpl w:val="4FFCFCD0"/>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Symbol"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Symbol"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51A73B8"/>
    <w:multiLevelType w:val="hybridMultilevel"/>
    <w:tmpl w:val="5B30D5CE"/>
    <w:lvl w:ilvl="0" w:tplc="0C090001">
      <w:start w:val="1"/>
      <w:numFmt w:val="bullet"/>
      <w:lvlText w:val=""/>
      <w:lvlJc w:val="left"/>
      <w:pPr>
        <w:ind w:left="1514" w:hanging="360"/>
      </w:pPr>
      <w:rPr>
        <w:rFonts w:ascii="Symbol" w:hAnsi="Symbol"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13" w15:restartNumberingAfterBreak="0">
    <w:nsid w:val="0DB46BBA"/>
    <w:multiLevelType w:val="hybridMultilevel"/>
    <w:tmpl w:val="28162D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03B63C7"/>
    <w:multiLevelType w:val="hybridMultilevel"/>
    <w:tmpl w:val="2550F4B8"/>
    <w:lvl w:ilvl="0" w:tplc="0C090001">
      <w:start w:val="1"/>
      <w:numFmt w:val="bullet"/>
      <w:lvlText w:val=""/>
      <w:lvlJc w:val="left"/>
      <w:pPr>
        <w:ind w:left="1514" w:hanging="360"/>
      </w:pPr>
      <w:rPr>
        <w:rFonts w:ascii="Symbol" w:hAnsi="Symbol"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15" w15:restartNumberingAfterBreak="0">
    <w:nsid w:val="12090461"/>
    <w:multiLevelType w:val="hybridMultilevel"/>
    <w:tmpl w:val="3A5A07DC"/>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08D7FEA"/>
    <w:multiLevelType w:val="multilevel"/>
    <w:tmpl w:val="AE9E91D8"/>
    <w:lvl w:ilvl="0">
      <w:start w:val="1"/>
      <w:numFmt w:val="decimal"/>
      <w:lvlText w:val="%1."/>
      <w:lvlJc w:val="left"/>
      <w:pPr>
        <w:ind w:left="720" w:hanging="72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1080"/>
      </w:pPr>
      <w:rPr>
        <w:rFonts w:hint="default"/>
      </w:rPr>
    </w:lvl>
    <w:lvl w:ilvl="3">
      <w:start w:val="1"/>
      <w:numFmt w:val="decimal"/>
      <w:isLgl/>
      <w:lvlText w:val="%1.%2.%3.%4"/>
      <w:lvlJc w:val="left"/>
      <w:pPr>
        <w:ind w:left="1440" w:hanging="144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2160" w:hanging="2160"/>
      </w:pPr>
      <w:rPr>
        <w:rFonts w:hint="default"/>
      </w:rPr>
    </w:lvl>
    <w:lvl w:ilvl="7">
      <w:start w:val="1"/>
      <w:numFmt w:val="decimal"/>
      <w:isLgl/>
      <w:lvlText w:val="%1.%2.%3.%4.%5.%6.%7.%8"/>
      <w:lvlJc w:val="left"/>
      <w:pPr>
        <w:ind w:left="2520" w:hanging="2520"/>
      </w:pPr>
      <w:rPr>
        <w:rFonts w:hint="default"/>
      </w:rPr>
    </w:lvl>
    <w:lvl w:ilvl="8">
      <w:start w:val="1"/>
      <w:numFmt w:val="decimal"/>
      <w:isLgl/>
      <w:lvlText w:val="%1.%2.%3.%4.%5.%6.%7.%8.%9"/>
      <w:lvlJc w:val="left"/>
      <w:pPr>
        <w:ind w:left="2880" w:hanging="2880"/>
      </w:pPr>
      <w:rPr>
        <w:rFonts w:hint="default"/>
      </w:rPr>
    </w:lvl>
  </w:abstractNum>
  <w:abstractNum w:abstractNumId="17" w15:restartNumberingAfterBreak="0">
    <w:nsid w:val="2BA35373"/>
    <w:multiLevelType w:val="multilevel"/>
    <w:tmpl w:val="265C08CA"/>
    <w:lvl w:ilvl="0">
      <w:start w:val="1"/>
      <w:numFmt w:val="decimal"/>
      <w:pStyle w:val="Alphabetlist"/>
      <w:lvlText w:val="%1."/>
      <w:lvlJc w:val="left"/>
      <w:pPr>
        <w:ind w:left="360" w:hanging="360"/>
      </w:pPr>
      <w:rPr>
        <w:rFonts w:hint="default"/>
      </w:rPr>
    </w:lvl>
    <w:lvl w:ilvl="1">
      <w:start w:val="1"/>
      <w:numFmt w:val="lowerLetter"/>
      <w:lvlText w:val="%2."/>
      <w:lvlJc w:val="left"/>
      <w:pPr>
        <w:ind w:left="851" w:hanging="284"/>
      </w:pPr>
      <w:rPr>
        <w:rFonts w:hint="default"/>
      </w:rPr>
    </w:lvl>
    <w:lvl w:ilvl="2">
      <w:start w:val="1"/>
      <w:numFmt w:val="lowerRoman"/>
      <w:lvlText w:val="%3."/>
      <w:lvlJc w:val="left"/>
      <w:pPr>
        <w:ind w:left="1418" w:hanging="28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2E9B2156"/>
    <w:multiLevelType w:val="singleLevel"/>
    <w:tmpl w:val="1130AB7A"/>
    <w:lvl w:ilvl="0">
      <w:start w:val="1"/>
      <w:numFmt w:val="bullet"/>
      <w:pStyle w:val="BodyText-List"/>
      <w:lvlText w:val=""/>
      <w:lvlJc w:val="left"/>
      <w:pPr>
        <w:tabs>
          <w:tab w:val="num" w:pos="1190"/>
        </w:tabs>
        <w:ind w:left="1190" w:hanging="396"/>
      </w:pPr>
      <w:rPr>
        <w:rFonts w:ascii="Symbol" w:hAnsi="Symbol" w:hint="default"/>
        <w:color w:val="auto"/>
        <w:sz w:val="18"/>
      </w:rPr>
    </w:lvl>
  </w:abstractNum>
  <w:abstractNum w:abstractNumId="19" w15:restartNumberingAfterBreak="0">
    <w:nsid w:val="3310175F"/>
    <w:multiLevelType w:val="hybridMultilevel"/>
    <w:tmpl w:val="7D22E71E"/>
    <w:lvl w:ilvl="0" w:tplc="A12C862A">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3B55B73"/>
    <w:multiLevelType w:val="hybridMultilevel"/>
    <w:tmpl w:val="339896C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58611C0"/>
    <w:multiLevelType w:val="hybridMultilevel"/>
    <w:tmpl w:val="5658C6D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370D3AAF"/>
    <w:multiLevelType w:val="hybridMultilevel"/>
    <w:tmpl w:val="027A3BE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643"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434D14B6"/>
    <w:multiLevelType w:val="hybridMultilevel"/>
    <w:tmpl w:val="6096F90C"/>
    <w:lvl w:ilvl="0" w:tplc="0C090001">
      <w:start w:val="1"/>
      <w:numFmt w:val="bullet"/>
      <w:lvlText w:val=""/>
      <w:lvlJc w:val="left"/>
      <w:pPr>
        <w:tabs>
          <w:tab w:val="num" w:pos="1080"/>
        </w:tabs>
        <w:ind w:left="1080" w:hanging="360"/>
      </w:pPr>
      <w:rPr>
        <w:rFonts w:ascii="Symbol" w:hAnsi="Symbol"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459537A0"/>
    <w:multiLevelType w:val="multilevel"/>
    <w:tmpl w:val="701435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4C051F6D"/>
    <w:multiLevelType w:val="hybridMultilevel"/>
    <w:tmpl w:val="A1DC1E2A"/>
    <w:lvl w:ilvl="0" w:tplc="0C090001">
      <w:start w:val="1"/>
      <w:numFmt w:val="bullet"/>
      <w:lvlText w:val=""/>
      <w:lvlJc w:val="left"/>
      <w:pPr>
        <w:tabs>
          <w:tab w:val="num" w:pos="1500"/>
        </w:tabs>
        <w:ind w:left="1500" w:hanging="360"/>
      </w:pPr>
      <w:rPr>
        <w:rFonts w:ascii="Symbol" w:hAnsi="Symbol" w:hint="default"/>
      </w:rPr>
    </w:lvl>
    <w:lvl w:ilvl="1" w:tplc="0C090003" w:tentative="1">
      <w:start w:val="1"/>
      <w:numFmt w:val="bullet"/>
      <w:lvlText w:val="o"/>
      <w:lvlJc w:val="left"/>
      <w:pPr>
        <w:tabs>
          <w:tab w:val="num" w:pos="2220"/>
        </w:tabs>
        <w:ind w:left="2220" w:hanging="360"/>
      </w:pPr>
      <w:rPr>
        <w:rFonts w:ascii="Courier New" w:hAnsi="Courier New" w:cs="Symbol" w:hint="default"/>
      </w:rPr>
    </w:lvl>
    <w:lvl w:ilvl="2" w:tplc="0C090005" w:tentative="1">
      <w:start w:val="1"/>
      <w:numFmt w:val="bullet"/>
      <w:lvlText w:val=""/>
      <w:lvlJc w:val="left"/>
      <w:pPr>
        <w:tabs>
          <w:tab w:val="num" w:pos="2940"/>
        </w:tabs>
        <w:ind w:left="2940" w:hanging="360"/>
      </w:pPr>
      <w:rPr>
        <w:rFonts w:ascii="Wingdings" w:hAnsi="Wingdings" w:hint="default"/>
      </w:rPr>
    </w:lvl>
    <w:lvl w:ilvl="3" w:tplc="0C090001" w:tentative="1">
      <w:start w:val="1"/>
      <w:numFmt w:val="bullet"/>
      <w:lvlText w:val=""/>
      <w:lvlJc w:val="left"/>
      <w:pPr>
        <w:tabs>
          <w:tab w:val="num" w:pos="3660"/>
        </w:tabs>
        <w:ind w:left="3660" w:hanging="360"/>
      </w:pPr>
      <w:rPr>
        <w:rFonts w:ascii="Symbol" w:hAnsi="Symbol" w:hint="default"/>
      </w:rPr>
    </w:lvl>
    <w:lvl w:ilvl="4" w:tplc="0C090003" w:tentative="1">
      <w:start w:val="1"/>
      <w:numFmt w:val="bullet"/>
      <w:lvlText w:val="o"/>
      <w:lvlJc w:val="left"/>
      <w:pPr>
        <w:tabs>
          <w:tab w:val="num" w:pos="4380"/>
        </w:tabs>
        <w:ind w:left="4380" w:hanging="360"/>
      </w:pPr>
      <w:rPr>
        <w:rFonts w:ascii="Courier New" w:hAnsi="Courier New" w:cs="Symbol" w:hint="default"/>
      </w:rPr>
    </w:lvl>
    <w:lvl w:ilvl="5" w:tplc="0C090005" w:tentative="1">
      <w:start w:val="1"/>
      <w:numFmt w:val="bullet"/>
      <w:lvlText w:val=""/>
      <w:lvlJc w:val="left"/>
      <w:pPr>
        <w:tabs>
          <w:tab w:val="num" w:pos="5100"/>
        </w:tabs>
        <w:ind w:left="5100" w:hanging="360"/>
      </w:pPr>
      <w:rPr>
        <w:rFonts w:ascii="Wingdings" w:hAnsi="Wingdings" w:hint="default"/>
      </w:rPr>
    </w:lvl>
    <w:lvl w:ilvl="6" w:tplc="0C090001" w:tentative="1">
      <w:start w:val="1"/>
      <w:numFmt w:val="bullet"/>
      <w:lvlText w:val=""/>
      <w:lvlJc w:val="left"/>
      <w:pPr>
        <w:tabs>
          <w:tab w:val="num" w:pos="5820"/>
        </w:tabs>
        <w:ind w:left="5820" w:hanging="360"/>
      </w:pPr>
      <w:rPr>
        <w:rFonts w:ascii="Symbol" w:hAnsi="Symbol" w:hint="default"/>
      </w:rPr>
    </w:lvl>
    <w:lvl w:ilvl="7" w:tplc="0C090003" w:tentative="1">
      <w:start w:val="1"/>
      <w:numFmt w:val="bullet"/>
      <w:lvlText w:val="o"/>
      <w:lvlJc w:val="left"/>
      <w:pPr>
        <w:tabs>
          <w:tab w:val="num" w:pos="6540"/>
        </w:tabs>
        <w:ind w:left="6540" w:hanging="360"/>
      </w:pPr>
      <w:rPr>
        <w:rFonts w:ascii="Courier New" w:hAnsi="Courier New" w:cs="Symbol" w:hint="default"/>
      </w:rPr>
    </w:lvl>
    <w:lvl w:ilvl="8" w:tplc="0C090005" w:tentative="1">
      <w:start w:val="1"/>
      <w:numFmt w:val="bullet"/>
      <w:lvlText w:val=""/>
      <w:lvlJc w:val="left"/>
      <w:pPr>
        <w:tabs>
          <w:tab w:val="num" w:pos="7260"/>
        </w:tabs>
        <w:ind w:left="7260" w:hanging="360"/>
      </w:pPr>
      <w:rPr>
        <w:rFonts w:ascii="Wingdings" w:hAnsi="Wingdings" w:hint="default"/>
      </w:rPr>
    </w:lvl>
  </w:abstractNum>
  <w:abstractNum w:abstractNumId="27" w15:restartNumberingAfterBreak="0">
    <w:nsid w:val="4ED335FD"/>
    <w:multiLevelType w:val="hybridMultilevel"/>
    <w:tmpl w:val="F6641F5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5C097CD7"/>
    <w:multiLevelType w:val="hybridMultilevel"/>
    <w:tmpl w:val="3AB0CA6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607A7BFC"/>
    <w:multiLevelType w:val="hybridMultilevel"/>
    <w:tmpl w:val="A34C05FA"/>
    <w:lvl w:ilvl="0" w:tplc="0C090001">
      <w:start w:val="1"/>
      <w:numFmt w:val="bullet"/>
      <w:lvlText w:val=""/>
      <w:lvlJc w:val="left"/>
      <w:pPr>
        <w:tabs>
          <w:tab w:val="num" w:pos="1514"/>
        </w:tabs>
        <w:ind w:left="1514" w:hanging="360"/>
      </w:pPr>
      <w:rPr>
        <w:rFonts w:ascii="Symbol" w:hAnsi="Symbol" w:hint="default"/>
      </w:rPr>
    </w:lvl>
    <w:lvl w:ilvl="1" w:tplc="0C090003">
      <w:start w:val="1"/>
      <w:numFmt w:val="bullet"/>
      <w:lvlText w:val="o"/>
      <w:lvlJc w:val="left"/>
      <w:pPr>
        <w:tabs>
          <w:tab w:val="num" w:pos="2234"/>
        </w:tabs>
        <w:ind w:left="2234" w:hanging="360"/>
      </w:pPr>
      <w:rPr>
        <w:rFonts w:ascii="Courier New" w:hAnsi="Courier New" w:cs="Courier New" w:hint="default"/>
      </w:rPr>
    </w:lvl>
    <w:lvl w:ilvl="2" w:tplc="0C090005" w:tentative="1">
      <w:start w:val="1"/>
      <w:numFmt w:val="bullet"/>
      <w:lvlText w:val=""/>
      <w:lvlJc w:val="left"/>
      <w:pPr>
        <w:tabs>
          <w:tab w:val="num" w:pos="2954"/>
        </w:tabs>
        <w:ind w:left="2954" w:hanging="360"/>
      </w:pPr>
      <w:rPr>
        <w:rFonts w:ascii="Wingdings" w:hAnsi="Wingdings" w:hint="default"/>
      </w:rPr>
    </w:lvl>
    <w:lvl w:ilvl="3" w:tplc="0C090001" w:tentative="1">
      <w:start w:val="1"/>
      <w:numFmt w:val="bullet"/>
      <w:lvlText w:val=""/>
      <w:lvlJc w:val="left"/>
      <w:pPr>
        <w:tabs>
          <w:tab w:val="num" w:pos="3674"/>
        </w:tabs>
        <w:ind w:left="3674" w:hanging="360"/>
      </w:pPr>
      <w:rPr>
        <w:rFonts w:ascii="Symbol" w:hAnsi="Symbol" w:hint="default"/>
      </w:rPr>
    </w:lvl>
    <w:lvl w:ilvl="4" w:tplc="0C090003" w:tentative="1">
      <w:start w:val="1"/>
      <w:numFmt w:val="bullet"/>
      <w:lvlText w:val="o"/>
      <w:lvlJc w:val="left"/>
      <w:pPr>
        <w:tabs>
          <w:tab w:val="num" w:pos="4394"/>
        </w:tabs>
        <w:ind w:left="4394" w:hanging="360"/>
      </w:pPr>
      <w:rPr>
        <w:rFonts w:ascii="Courier New" w:hAnsi="Courier New" w:cs="Symbol" w:hint="default"/>
      </w:rPr>
    </w:lvl>
    <w:lvl w:ilvl="5" w:tplc="0C090005" w:tentative="1">
      <w:start w:val="1"/>
      <w:numFmt w:val="bullet"/>
      <w:lvlText w:val=""/>
      <w:lvlJc w:val="left"/>
      <w:pPr>
        <w:tabs>
          <w:tab w:val="num" w:pos="5114"/>
        </w:tabs>
        <w:ind w:left="5114" w:hanging="360"/>
      </w:pPr>
      <w:rPr>
        <w:rFonts w:ascii="Wingdings" w:hAnsi="Wingdings" w:hint="default"/>
      </w:rPr>
    </w:lvl>
    <w:lvl w:ilvl="6" w:tplc="0C090001" w:tentative="1">
      <w:start w:val="1"/>
      <w:numFmt w:val="bullet"/>
      <w:lvlText w:val=""/>
      <w:lvlJc w:val="left"/>
      <w:pPr>
        <w:tabs>
          <w:tab w:val="num" w:pos="5834"/>
        </w:tabs>
        <w:ind w:left="5834" w:hanging="360"/>
      </w:pPr>
      <w:rPr>
        <w:rFonts w:ascii="Symbol" w:hAnsi="Symbol" w:hint="default"/>
      </w:rPr>
    </w:lvl>
    <w:lvl w:ilvl="7" w:tplc="0C090003" w:tentative="1">
      <w:start w:val="1"/>
      <w:numFmt w:val="bullet"/>
      <w:lvlText w:val="o"/>
      <w:lvlJc w:val="left"/>
      <w:pPr>
        <w:tabs>
          <w:tab w:val="num" w:pos="6554"/>
        </w:tabs>
        <w:ind w:left="6554" w:hanging="360"/>
      </w:pPr>
      <w:rPr>
        <w:rFonts w:ascii="Courier New" w:hAnsi="Courier New" w:cs="Symbol" w:hint="default"/>
      </w:rPr>
    </w:lvl>
    <w:lvl w:ilvl="8" w:tplc="0C090005" w:tentative="1">
      <w:start w:val="1"/>
      <w:numFmt w:val="bullet"/>
      <w:lvlText w:val=""/>
      <w:lvlJc w:val="left"/>
      <w:pPr>
        <w:tabs>
          <w:tab w:val="num" w:pos="7274"/>
        </w:tabs>
        <w:ind w:left="7274" w:hanging="360"/>
      </w:pPr>
      <w:rPr>
        <w:rFonts w:ascii="Wingdings" w:hAnsi="Wingdings" w:hint="default"/>
      </w:rPr>
    </w:lvl>
  </w:abstractNum>
  <w:abstractNum w:abstractNumId="31"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6C67E57"/>
    <w:multiLevelType w:val="hybridMultilevel"/>
    <w:tmpl w:val="3152662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6D69302F"/>
    <w:multiLevelType w:val="hybridMultilevel"/>
    <w:tmpl w:val="EBF4730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7A350533"/>
    <w:multiLevelType w:val="hybridMultilevel"/>
    <w:tmpl w:val="FCCEEE92"/>
    <w:lvl w:ilvl="0" w:tplc="0C090001">
      <w:start w:val="1"/>
      <w:numFmt w:val="bullet"/>
      <w:lvlText w:val=""/>
      <w:lvlJc w:val="left"/>
      <w:pPr>
        <w:ind w:left="1500" w:hanging="360"/>
      </w:pPr>
      <w:rPr>
        <w:rFonts w:ascii="Symbol" w:hAnsi="Symbol" w:hint="default"/>
      </w:rPr>
    </w:lvl>
    <w:lvl w:ilvl="1" w:tplc="0C090003">
      <w:start w:val="1"/>
      <w:numFmt w:val="bullet"/>
      <w:lvlText w:val="o"/>
      <w:lvlJc w:val="left"/>
      <w:pPr>
        <w:ind w:left="2220" w:hanging="360"/>
      </w:pPr>
      <w:rPr>
        <w:rFonts w:ascii="Courier New" w:hAnsi="Courier New" w:cs="Courier New" w:hint="default"/>
      </w:rPr>
    </w:lvl>
    <w:lvl w:ilvl="2" w:tplc="0C090005" w:tentative="1">
      <w:start w:val="1"/>
      <w:numFmt w:val="bullet"/>
      <w:lvlText w:val=""/>
      <w:lvlJc w:val="left"/>
      <w:pPr>
        <w:ind w:left="2940" w:hanging="360"/>
      </w:pPr>
      <w:rPr>
        <w:rFonts w:ascii="Wingdings" w:hAnsi="Wingdings" w:hint="default"/>
      </w:rPr>
    </w:lvl>
    <w:lvl w:ilvl="3" w:tplc="0C090001" w:tentative="1">
      <w:start w:val="1"/>
      <w:numFmt w:val="bullet"/>
      <w:lvlText w:val=""/>
      <w:lvlJc w:val="left"/>
      <w:pPr>
        <w:ind w:left="3660" w:hanging="360"/>
      </w:pPr>
      <w:rPr>
        <w:rFonts w:ascii="Symbol" w:hAnsi="Symbol" w:hint="default"/>
      </w:rPr>
    </w:lvl>
    <w:lvl w:ilvl="4" w:tplc="0C090003" w:tentative="1">
      <w:start w:val="1"/>
      <w:numFmt w:val="bullet"/>
      <w:lvlText w:val="o"/>
      <w:lvlJc w:val="left"/>
      <w:pPr>
        <w:ind w:left="4380" w:hanging="360"/>
      </w:pPr>
      <w:rPr>
        <w:rFonts w:ascii="Courier New" w:hAnsi="Courier New" w:cs="Courier New" w:hint="default"/>
      </w:rPr>
    </w:lvl>
    <w:lvl w:ilvl="5" w:tplc="0C090005" w:tentative="1">
      <w:start w:val="1"/>
      <w:numFmt w:val="bullet"/>
      <w:lvlText w:val=""/>
      <w:lvlJc w:val="left"/>
      <w:pPr>
        <w:ind w:left="5100" w:hanging="360"/>
      </w:pPr>
      <w:rPr>
        <w:rFonts w:ascii="Wingdings" w:hAnsi="Wingdings" w:hint="default"/>
      </w:rPr>
    </w:lvl>
    <w:lvl w:ilvl="6" w:tplc="0C090001" w:tentative="1">
      <w:start w:val="1"/>
      <w:numFmt w:val="bullet"/>
      <w:lvlText w:val=""/>
      <w:lvlJc w:val="left"/>
      <w:pPr>
        <w:ind w:left="5820" w:hanging="360"/>
      </w:pPr>
      <w:rPr>
        <w:rFonts w:ascii="Symbol" w:hAnsi="Symbol" w:hint="default"/>
      </w:rPr>
    </w:lvl>
    <w:lvl w:ilvl="7" w:tplc="0C090003" w:tentative="1">
      <w:start w:val="1"/>
      <w:numFmt w:val="bullet"/>
      <w:lvlText w:val="o"/>
      <w:lvlJc w:val="left"/>
      <w:pPr>
        <w:ind w:left="6540" w:hanging="360"/>
      </w:pPr>
      <w:rPr>
        <w:rFonts w:ascii="Courier New" w:hAnsi="Courier New" w:cs="Courier New" w:hint="default"/>
      </w:rPr>
    </w:lvl>
    <w:lvl w:ilvl="8" w:tplc="0C090005" w:tentative="1">
      <w:start w:val="1"/>
      <w:numFmt w:val="bullet"/>
      <w:lvlText w:val=""/>
      <w:lvlJc w:val="left"/>
      <w:pPr>
        <w:ind w:left="726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21"/>
  </w:num>
  <w:num w:numId="13">
    <w:abstractNumId w:val="29"/>
  </w:num>
  <w:num w:numId="14">
    <w:abstractNumId w:val="31"/>
  </w:num>
  <w:num w:numId="15">
    <w:abstractNumId w:val="17"/>
  </w:num>
  <w:num w:numId="16">
    <w:abstractNumId w:val="25"/>
  </w:num>
  <w:num w:numId="17">
    <w:abstractNumId w:val="19"/>
  </w:num>
  <w:num w:numId="18">
    <w:abstractNumId w:val="17"/>
    <w:lvlOverride w:ilvl="0">
      <w:lvl w:ilvl="0">
        <w:start w:val="1"/>
        <w:numFmt w:val="decimal"/>
        <w:pStyle w:val="Alphabetlist"/>
        <w:lvlText w:val="%1."/>
        <w:lvlJc w:val="left"/>
        <w:pPr>
          <w:ind w:left="360" w:hanging="360"/>
        </w:pPr>
        <w:rPr>
          <w:rFonts w:hint="default"/>
        </w:rPr>
      </w:lvl>
    </w:lvlOverride>
    <w:lvlOverride w:ilvl="1">
      <w:lvl w:ilvl="1">
        <w:start w:val="1"/>
        <w:numFmt w:val="lowerLetter"/>
        <w:lvlText w:val="%2."/>
        <w:lvlJc w:val="left"/>
        <w:pPr>
          <w:ind w:left="1440" w:hanging="589"/>
        </w:pPr>
        <w:rPr>
          <w:rFonts w:hint="default"/>
        </w:rPr>
      </w:lvl>
    </w:lvlOverride>
    <w:lvlOverride w:ilvl="2">
      <w:lvl w:ilvl="2">
        <w:start w:val="1"/>
        <w:numFmt w:val="lowerRoman"/>
        <w:lvlText w:val="%3."/>
        <w:lvlJc w:val="left"/>
        <w:pPr>
          <w:ind w:left="2160" w:hanging="459"/>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19">
    <w:abstractNumId w:val="17"/>
    <w:lvlOverride w:ilvl="0">
      <w:lvl w:ilvl="0">
        <w:start w:val="1"/>
        <w:numFmt w:val="decimal"/>
        <w:pStyle w:val="Alphabetlist"/>
        <w:lvlText w:val="%1."/>
        <w:lvlJc w:val="left"/>
        <w:pPr>
          <w:ind w:left="360" w:hanging="360"/>
        </w:pPr>
        <w:rPr>
          <w:rFonts w:hint="default"/>
        </w:rPr>
      </w:lvl>
    </w:lvlOverride>
    <w:lvlOverride w:ilvl="1">
      <w:lvl w:ilvl="1">
        <w:start w:val="1"/>
        <w:numFmt w:val="lowerLetter"/>
        <w:lvlText w:val="%2."/>
        <w:lvlJc w:val="left"/>
        <w:pPr>
          <w:ind w:left="1134" w:hanging="567"/>
        </w:pPr>
        <w:rPr>
          <w:rFonts w:hint="default"/>
        </w:rPr>
      </w:lvl>
    </w:lvlOverride>
    <w:lvlOverride w:ilvl="2">
      <w:lvl w:ilvl="2">
        <w:start w:val="1"/>
        <w:numFmt w:val="lowerRoman"/>
        <w:lvlText w:val="%3."/>
        <w:lvlJc w:val="left"/>
        <w:pPr>
          <w:ind w:left="1701" w:hanging="567"/>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20">
    <w:abstractNumId w:val="16"/>
  </w:num>
  <w:num w:numId="21">
    <w:abstractNumId w:val="11"/>
  </w:num>
  <w:num w:numId="22">
    <w:abstractNumId w:val="18"/>
  </w:num>
  <w:num w:numId="23">
    <w:abstractNumId w:val="24"/>
  </w:num>
  <w:num w:numId="24">
    <w:abstractNumId w:val="15"/>
  </w:num>
  <w:num w:numId="25">
    <w:abstractNumId w:val="13"/>
  </w:num>
  <w:num w:numId="26">
    <w:abstractNumId w:val="14"/>
  </w:num>
  <w:num w:numId="27">
    <w:abstractNumId w:val="30"/>
  </w:num>
  <w:num w:numId="28">
    <w:abstractNumId w:val="26"/>
  </w:num>
  <w:num w:numId="29">
    <w:abstractNumId w:val="34"/>
  </w:num>
  <w:num w:numId="30">
    <w:abstractNumId w:val="12"/>
  </w:num>
  <w:num w:numId="31">
    <w:abstractNumId w:val="33"/>
  </w:num>
  <w:num w:numId="32">
    <w:abstractNumId w:val="28"/>
  </w:num>
  <w:num w:numId="33">
    <w:abstractNumId w:val="32"/>
  </w:num>
  <w:num w:numId="34">
    <w:abstractNumId w:val="27"/>
  </w:num>
  <w:num w:numId="35">
    <w:abstractNumId w:val="23"/>
  </w:num>
  <w:num w:numId="36">
    <w:abstractNumId w:val="22"/>
  </w:num>
  <w:num w:numId="3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7DD"/>
    <w:rsid w:val="00011F31"/>
    <w:rsid w:val="00013339"/>
    <w:rsid w:val="000256E2"/>
    <w:rsid w:val="00030534"/>
    <w:rsid w:val="00034603"/>
    <w:rsid w:val="0005575B"/>
    <w:rsid w:val="000613ED"/>
    <w:rsid w:val="00080DA9"/>
    <w:rsid w:val="00091684"/>
    <w:rsid w:val="000A47D4"/>
    <w:rsid w:val="000C600E"/>
    <w:rsid w:val="0012065B"/>
    <w:rsid w:val="00121B81"/>
    <w:rsid w:val="00122369"/>
    <w:rsid w:val="00143E0C"/>
    <w:rsid w:val="00150E0F"/>
    <w:rsid w:val="0015294B"/>
    <w:rsid w:val="00157212"/>
    <w:rsid w:val="0016287D"/>
    <w:rsid w:val="001C029A"/>
    <w:rsid w:val="001D0D94"/>
    <w:rsid w:val="001D13F9"/>
    <w:rsid w:val="001F39DD"/>
    <w:rsid w:val="00221865"/>
    <w:rsid w:val="00231810"/>
    <w:rsid w:val="002512BE"/>
    <w:rsid w:val="00275FB8"/>
    <w:rsid w:val="00277A3E"/>
    <w:rsid w:val="00283FF0"/>
    <w:rsid w:val="0029688F"/>
    <w:rsid w:val="00297164"/>
    <w:rsid w:val="002A4A96"/>
    <w:rsid w:val="002B66B0"/>
    <w:rsid w:val="002C22BE"/>
    <w:rsid w:val="002D5E50"/>
    <w:rsid w:val="002E3BED"/>
    <w:rsid w:val="002F1C55"/>
    <w:rsid w:val="002F6115"/>
    <w:rsid w:val="00312720"/>
    <w:rsid w:val="00317668"/>
    <w:rsid w:val="00336E14"/>
    <w:rsid w:val="00343AFC"/>
    <w:rsid w:val="0034745C"/>
    <w:rsid w:val="00382F75"/>
    <w:rsid w:val="00390822"/>
    <w:rsid w:val="003967DD"/>
    <w:rsid w:val="003A4C39"/>
    <w:rsid w:val="00404AC9"/>
    <w:rsid w:val="00407659"/>
    <w:rsid w:val="0042333B"/>
    <w:rsid w:val="004A17E9"/>
    <w:rsid w:val="004B2ED6"/>
    <w:rsid w:val="004C4BDB"/>
    <w:rsid w:val="004D7D90"/>
    <w:rsid w:val="004E677B"/>
    <w:rsid w:val="00503D91"/>
    <w:rsid w:val="00512BBA"/>
    <w:rsid w:val="00540511"/>
    <w:rsid w:val="00555277"/>
    <w:rsid w:val="005574C8"/>
    <w:rsid w:val="00567CF0"/>
    <w:rsid w:val="00584366"/>
    <w:rsid w:val="005A4F12"/>
    <w:rsid w:val="005C1D6D"/>
    <w:rsid w:val="00605277"/>
    <w:rsid w:val="00624A55"/>
    <w:rsid w:val="00641322"/>
    <w:rsid w:val="0064649F"/>
    <w:rsid w:val="006645E9"/>
    <w:rsid w:val="006671CE"/>
    <w:rsid w:val="00696722"/>
    <w:rsid w:val="006A25AC"/>
    <w:rsid w:val="006E2B9A"/>
    <w:rsid w:val="00710CED"/>
    <w:rsid w:val="007168C6"/>
    <w:rsid w:val="007556DD"/>
    <w:rsid w:val="00781EB8"/>
    <w:rsid w:val="00794356"/>
    <w:rsid w:val="007A358E"/>
    <w:rsid w:val="007A4AB9"/>
    <w:rsid w:val="007B556E"/>
    <w:rsid w:val="007D3E38"/>
    <w:rsid w:val="007D4C5C"/>
    <w:rsid w:val="007D62F6"/>
    <w:rsid w:val="008065DA"/>
    <w:rsid w:val="00843E35"/>
    <w:rsid w:val="008561B9"/>
    <w:rsid w:val="00877523"/>
    <w:rsid w:val="00890680"/>
    <w:rsid w:val="008A7A2A"/>
    <w:rsid w:val="008B1737"/>
    <w:rsid w:val="008B5FEF"/>
    <w:rsid w:val="009052CD"/>
    <w:rsid w:val="00934259"/>
    <w:rsid w:val="00935484"/>
    <w:rsid w:val="00952690"/>
    <w:rsid w:val="00974A78"/>
    <w:rsid w:val="009A5F2B"/>
    <w:rsid w:val="009A7445"/>
    <w:rsid w:val="009D1D48"/>
    <w:rsid w:val="00A31926"/>
    <w:rsid w:val="00A55797"/>
    <w:rsid w:val="00A56867"/>
    <w:rsid w:val="00A607E9"/>
    <w:rsid w:val="00A65927"/>
    <w:rsid w:val="00A710DF"/>
    <w:rsid w:val="00A92C3E"/>
    <w:rsid w:val="00A92C65"/>
    <w:rsid w:val="00A9567D"/>
    <w:rsid w:val="00AA5E57"/>
    <w:rsid w:val="00AC2227"/>
    <w:rsid w:val="00AC2531"/>
    <w:rsid w:val="00AC27B2"/>
    <w:rsid w:val="00AD3471"/>
    <w:rsid w:val="00B04F59"/>
    <w:rsid w:val="00B21562"/>
    <w:rsid w:val="00B348F3"/>
    <w:rsid w:val="00B46E17"/>
    <w:rsid w:val="00BB10D2"/>
    <w:rsid w:val="00BB66A9"/>
    <w:rsid w:val="00BE2AAA"/>
    <w:rsid w:val="00BE4794"/>
    <w:rsid w:val="00BF3D5E"/>
    <w:rsid w:val="00C222E9"/>
    <w:rsid w:val="00C4407C"/>
    <w:rsid w:val="00C51AC3"/>
    <w:rsid w:val="00C539BB"/>
    <w:rsid w:val="00C723B0"/>
    <w:rsid w:val="00C73021"/>
    <w:rsid w:val="00CC5AA8"/>
    <w:rsid w:val="00CD5993"/>
    <w:rsid w:val="00CF69DB"/>
    <w:rsid w:val="00D05952"/>
    <w:rsid w:val="00D62BDB"/>
    <w:rsid w:val="00D64540"/>
    <w:rsid w:val="00D90A99"/>
    <w:rsid w:val="00D978EA"/>
    <w:rsid w:val="00DB0B86"/>
    <w:rsid w:val="00DB706C"/>
    <w:rsid w:val="00DC4D0D"/>
    <w:rsid w:val="00DD6845"/>
    <w:rsid w:val="00E15838"/>
    <w:rsid w:val="00E269C0"/>
    <w:rsid w:val="00E34263"/>
    <w:rsid w:val="00E34721"/>
    <w:rsid w:val="00E4317E"/>
    <w:rsid w:val="00E5030B"/>
    <w:rsid w:val="00E64758"/>
    <w:rsid w:val="00E77EB9"/>
    <w:rsid w:val="00E93221"/>
    <w:rsid w:val="00F03C03"/>
    <w:rsid w:val="00F10AA0"/>
    <w:rsid w:val="00F16F22"/>
    <w:rsid w:val="00F35280"/>
    <w:rsid w:val="00F40E72"/>
    <w:rsid w:val="00F5271F"/>
    <w:rsid w:val="00F94715"/>
    <w:rsid w:val="00F9473B"/>
    <w:rsid w:val="00FA77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1355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C1D6D"/>
    <w:pPr>
      <w:spacing w:after="120"/>
    </w:pPr>
  </w:style>
  <w:style w:type="paragraph" w:styleId="Heading1">
    <w:name w:val="heading 1"/>
    <w:basedOn w:val="Normal"/>
    <w:next w:val="Normal"/>
    <w:link w:val="Heading1Char"/>
    <w:uiPriority w:val="9"/>
    <w:qFormat/>
    <w:rsid w:val="0064649F"/>
    <w:pPr>
      <w:keepNext/>
      <w:keepLines/>
      <w:spacing w:before="240"/>
      <w:outlineLvl w:val="0"/>
    </w:pPr>
    <w:rPr>
      <w:rFonts w:asciiTheme="majorHAnsi" w:eastAsiaTheme="majorEastAsia" w:hAnsiTheme="majorHAnsi" w:cs="Times New Roman (Headings CS)"/>
      <w:b/>
      <w:color w:val="2459A9" w:themeColor="text1"/>
      <w:sz w:val="48"/>
      <w:szCs w:val="32"/>
    </w:rPr>
  </w:style>
  <w:style w:type="paragraph" w:styleId="Heading2">
    <w:name w:val="heading 2"/>
    <w:basedOn w:val="Normal"/>
    <w:next w:val="Normal"/>
    <w:link w:val="Heading2Char"/>
    <w:uiPriority w:val="9"/>
    <w:unhideWhenUsed/>
    <w:qFormat/>
    <w:rsid w:val="00297164"/>
    <w:pPr>
      <w:keepNext/>
      <w:keepLines/>
      <w:spacing w:before="360"/>
      <w:outlineLvl w:val="1"/>
    </w:pPr>
    <w:rPr>
      <w:rFonts w:asciiTheme="majorHAnsi" w:eastAsiaTheme="majorEastAsia" w:hAnsiTheme="majorHAnsi" w:cs="Times New Roman (Headings CS)"/>
      <w:b/>
      <w:color w:val="262B67" w:themeColor="text2"/>
      <w:sz w:val="36"/>
      <w:szCs w:val="26"/>
    </w:rPr>
  </w:style>
  <w:style w:type="paragraph" w:styleId="Heading3">
    <w:name w:val="heading 3"/>
    <w:basedOn w:val="Normal"/>
    <w:next w:val="Normal"/>
    <w:link w:val="Heading3Char"/>
    <w:uiPriority w:val="9"/>
    <w:unhideWhenUsed/>
    <w:qFormat/>
    <w:rsid w:val="00BE2AAA"/>
    <w:pPr>
      <w:keepNext/>
      <w:keepLines/>
      <w:spacing w:before="240"/>
      <w:outlineLvl w:val="2"/>
    </w:pPr>
    <w:rPr>
      <w:rFonts w:asciiTheme="majorHAnsi" w:eastAsiaTheme="majorEastAsia" w:hAnsiTheme="majorHAnsi" w:cstheme="majorBidi"/>
      <w:b/>
      <w:color w:val="68478D" w:themeColor="accent4"/>
      <w:sz w:val="28"/>
    </w:rPr>
  </w:style>
  <w:style w:type="paragraph" w:styleId="Heading4">
    <w:name w:val="heading 4"/>
    <w:basedOn w:val="Normal"/>
    <w:next w:val="Normal"/>
    <w:link w:val="Heading4Char"/>
    <w:uiPriority w:val="9"/>
    <w:unhideWhenUsed/>
    <w:qFormat/>
    <w:rsid w:val="00297164"/>
    <w:pPr>
      <w:keepNext/>
      <w:keepLines/>
      <w:spacing w:before="40" w:after="0"/>
      <w:outlineLvl w:val="3"/>
    </w:pPr>
    <w:rPr>
      <w:rFonts w:asciiTheme="majorHAnsi" w:eastAsiaTheme="majorEastAsia" w:hAnsiTheme="majorHAnsi" w:cstheme="majorBidi"/>
      <w:b/>
      <w:iCs/>
      <w:color w:val="2459A9" w:themeColor="text1"/>
    </w:rPr>
  </w:style>
  <w:style w:type="paragraph" w:styleId="Heading5">
    <w:name w:val="heading 5"/>
    <w:basedOn w:val="Normal"/>
    <w:next w:val="Normal"/>
    <w:link w:val="Heading5Char"/>
    <w:uiPriority w:val="9"/>
    <w:unhideWhenUsed/>
    <w:qFormat/>
    <w:rsid w:val="00297164"/>
    <w:pPr>
      <w:keepNext/>
      <w:keepLines/>
      <w:spacing w:before="40" w:after="0"/>
      <w:outlineLvl w:val="4"/>
    </w:pPr>
    <w:rPr>
      <w:rFonts w:asciiTheme="majorHAnsi" w:eastAsiaTheme="majorEastAsia" w:hAnsiTheme="majorHAnsi" w:cstheme="majorBidi"/>
      <w:b/>
      <w:color w:val="262B67" w:themeColor="text2"/>
    </w:rPr>
  </w:style>
  <w:style w:type="paragraph" w:styleId="Heading6">
    <w:name w:val="heading 6"/>
    <w:basedOn w:val="Normal"/>
    <w:next w:val="Normal"/>
    <w:link w:val="Heading6Char"/>
    <w:uiPriority w:val="9"/>
    <w:unhideWhenUsed/>
    <w:qFormat/>
    <w:rsid w:val="00297164"/>
    <w:pPr>
      <w:keepNext/>
      <w:keepLines/>
      <w:spacing w:before="40" w:after="0"/>
      <w:outlineLvl w:val="5"/>
    </w:pPr>
    <w:rPr>
      <w:rFonts w:asciiTheme="majorHAnsi" w:eastAsiaTheme="majorEastAsia" w:hAnsiTheme="majorHAnsi" w:cstheme="majorBid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64649F"/>
    <w:rPr>
      <w:rFonts w:asciiTheme="majorHAnsi" w:eastAsiaTheme="majorEastAsia" w:hAnsiTheme="majorHAnsi" w:cs="Times New Roman (Headings CS)"/>
      <w:b/>
      <w:color w:val="2459A9" w:themeColor="text1"/>
      <w:sz w:val="48"/>
      <w:szCs w:val="32"/>
    </w:rPr>
  </w:style>
  <w:style w:type="paragraph" w:customStyle="1" w:styleId="Intro">
    <w:name w:val="Intro"/>
    <w:basedOn w:val="Normal"/>
    <w:qFormat/>
    <w:rsid w:val="00BE2AAA"/>
    <w:pPr>
      <w:spacing w:before="120"/>
    </w:pPr>
    <w:rPr>
      <w:b/>
      <w:color w:val="000000"/>
      <w:sz w:val="28"/>
      <w:lang w:val="en-AU"/>
    </w:rPr>
  </w:style>
  <w:style w:type="character" w:customStyle="1" w:styleId="Heading2Char">
    <w:name w:val="Heading 2 Char"/>
    <w:basedOn w:val="DefaultParagraphFont"/>
    <w:link w:val="Heading2"/>
    <w:uiPriority w:val="9"/>
    <w:rsid w:val="00297164"/>
    <w:rPr>
      <w:rFonts w:asciiTheme="majorHAnsi" w:eastAsiaTheme="majorEastAsia" w:hAnsiTheme="majorHAnsi" w:cs="Times New Roman (Headings CS)"/>
      <w:b/>
      <w:color w:val="262B67" w:themeColor="text2"/>
      <w:sz w:val="36"/>
      <w:szCs w:val="26"/>
    </w:rPr>
  </w:style>
  <w:style w:type="character" w:customStyle="1" w:styleId="Heading3Char">
    <w:name w:val="Heading 3 Char"/>
    <w:basedOn w:val="DefaultParagraphFont"/>
    <w:link w:val="Heading3"/>
    <w:uiPriority w:val="9"/>
    <w:rsid w:val="00BE2AAA"/>
    <w:rPr>
      <w:rFonts w:asciiTheme="majorHAnsi" w:eastAsiaTheme="majorEastAsia" w:hAnsiTheme="majorHAnsi" w:cstheme="majorBidi"/>
      <w:b/>
      <w:color w:val="68478D" w:themeColor="accent4"/>
      <w:sz w:val="28"/>
    </w:rPr>
  </w:style>
  <w:style w:type="paragraph" w:styleId="Quote">
    <w:name w:val="Quote"/>
    <w:basedOn w:val="Normal"/>
    <w:next w:val="Normal"/>
    <w:link w:val="QuoteChar"/>
    <w:uiPriority w:val="29"/>
    <w:qFormat/>
    <w:rsid w:val="002E3BED"/>
    <w:pPr>
      <w:spacing w:before="120"/>
      <w:ind w:left="284" w:right="284"/>
    </w:pPr>
    <w:rPr>
      <w:i/>
      <w:iCs/>
      <w:color w:val="262B67" w:themeColor="text2"/>
    </w:rPr>
  </w:style>
  <w:style w:type="character" w:customStyle="1" w:styleId="QuoteChar">
    <w:name w:val="Quote Char"/>
    <w:basedOn w:val="DefaultParagraphFont"/>
    <w:link w:val="Quote"/>
    <w:uiPriority w:val="29"/>
    <w:rsid w:val="002E3BED"/>
    <w:rPr>
      <w:i/>
      <w:iCs/>
      <w:color w:val="262B67"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8B1737"/>
    <w:pPr>
      <w:numPr>
        <w:numId w:val="17"/>
      </w:numPr>
      <w:ind w:left="284" w:hanging="284"/>
    </w:pPr>
    <w:rPr>
      <w:lang w:val="en-AU"/>
    </w:rPr>
  </w:style>
  <w:style w:type="table" w:styleId="TableGrid">
    <w:name w:val="Table Grid"/>
    <w:basedOn w:val="TableNormal"/>
    <w:uiPriority w:val="39"/>
    <w:rsid w:val="00F94715"/>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shd w:val="clear" w:color="auto" w:fill="2459A9" w:themeFill="text1"/>
      </w:tcPr>
    </w:tblStylePr>
    <w:tblStylePr w:type="firstCol">
      <w:rPr>
        <w:color w:val="2459A9" w:themeColor="text1"/>
      </w:rPr>
    </w:tblStylePr>
  </w:style>
  <w:style w:type="paragraph" w:customStyle="1" w:styleId="TableHead">
    <w:name w:val="Table Head"/>
    <w:basedOn w:val="Normal"/>
    <w:qFormat/>
    <w:rsid w:val="005C1D6D"/>
    <w:pPr>
      <w:spacing w:before="120"/>
    </w:pPr>
    <w:rPr>
      <w:b/>
      <w:color w:val="FFFFFF" w:themeColor="background1"/>
      <w:lang w:val="en-AU"/>
    </w:rPr>
  </w:style>
  <w:style w:type="paragraph" w:customStyle="1" w:styleId="Tablebody">
    <w:name w:val="Table body"/>
    <w:basedOn w:val="Normal"/>
    <w:qFormat/>
    <w:rsid w:val="005C1D6D"/>
    <w:pPr>
      <w:spacing w:before="60" w:after="60"/>
    </w:pPr>
    <w:rPr>
      <w:lang w:val="en-AU"/>
    </w:r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numPr>
        <w:numId w:val="15"/>
      </w:numPr>
    </w:pPr>
  </w:style>
  <w:style w:type="character" w:styleId="Strong">
    <w:name w:val="Strong"/>
    <w:basedOn w:val="DefaultParagraphFont"/>
    <w:uiPriority w:val="22"/>
    <w:qFormat/>
    <w:rsid w:val="0016287D"/>
    <w:rPr>
      <w:b/>
      <w:bCs/>
    </w:rPr>
  </w:style>
  <w:style w:type="paragraph" w:styleId="FootnoteText">
    <w:name w:val="footnote text"/>
    <w:basedOn w:val="Normal"/>
    <w:link w:val="FootnoteTextChar"/>
    <w:uiPriority w:val="99"/>
    <w:unhideWhenUsed/>
    <w:rsid w:val="0016287D"/>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16287D"/>
    <w:rPr>
      <w:rFonts w:ascii="Arial" w:eastAsiaTheme="minorEastAsia" w:hAnsi="Arial" w:cs="Arial"/>
      <w:sz w:val="11"/>
      <w:szCs w:val="11"/>
      <w:lang w:val="en-US"/>
    </w:rPr>
  </w:style>
  <w:style w:type="character" w:styleId="Hyperlink">
    <w:name w:val="Hyperlink"/>
    <w:basedOn w:val="DefaultParagraphFont"/>
    <w:uiPriority w:val="99"/>
    <w:unhideWhenUsed/>
    <w:rsid w:val="0016287D"/>
    <w:rPr>
      <w:color w:val="004C97" w:themeColor="hyperlink"/>
      <w:u w:val="single"/>
    </w:rPr>
  </w:style>
  <w:style w:type="character" w:customStyle="1" w:styleId="apple-converted-space">
    <w:name w:val="apple-converted-space"/>
    <w:basedOn w:val="DefaultParagraphFont"/>
    <w:rsid w:val="0016287D"/>
  </w:style>
  <w:style w:type="character" w:styleId="FollowedHyperlink">
    <w:name w:val="FollowedHyperlink"/>
    <w:basedOn w:val="DefaultParagraphFont"/>
    <w:uiPriority w:val="99"/>
    <w:semiHidden/>
    <w:unhideWhenUsed/>
    <w:rsid w:val="00E64758"/>
    <w:rPr>
      <w:color w:val="003F54" w:themeColor="followedHyperlink"/>
      <w:u w:val="single"/>
    </w:rPr>
  </w:style>
  <w:style w:type="character" w:styleId="UnresolvedMention">
    <w:name w:val="Unresolved Mention"/>
    <w:basedOn w:val="DefaultParagraphFont"/>
    <w:uiPriority w:val="99"/>
    <w:rsid w:val="00E34721"/>
    <w:rPr>
      <w:color w:val="605E5C"/>
      <w:shd w:val="clear" w:color="auto" w:fill="E1DFDD"/>
    </w:rPr>
  </w:style>
  <w:style w:type="character" w:customStyle="1" w:styleId="Heading4Char">
    <w:name w:val="Heading 4 Char"/>
    <w:basedOn w:val="DefaultParagraphFont"/>
    <w:link w:val="Heading4"/>
    <w:uiPriority w:val="9"/>
    <w:rsid w:val="00297164"/>
    <w:rPr>
      <w:rFonts w:asciiTheme="majorHAnsi" w:eastAsiaTheme="majorEastAsia" w:hAnsiTheme="majorHAnsi" w:cstheme="majorBidi"/>
      <w:b/>
      <w:iCs/>
      <w:color w:val="2459A9" w:themeColor="text1"/>
    </w:rPr>
  </w:style>
  <w:style w:type="paragraph" w:styleId="Subtitle">
    <w:name w:val="Subtitle"/>
    <w:basedOn w:val="Normal"/>
    <w:next w:val="Normal"/>
    <w:link w:val="SubtitleChar"/>
    <w:uiPriority w:val="11"/>
    <w:qFormat/>
    <w:rsid w:val="00F94715"/>
    <w:pPr>
      <w:numPr>
        <w:ilvl w:val="1"/>
      </w:numPr>
      <w:spacing w:after="160"/>
    </w:pPr>
    <w:rPr>
      <w:rFonts w:eastAsiaTheme="minorEastAsia"/>
      <w:color w:val="2459A9" w:themeColor="text1"/>
      <w:spacing w:val="15"/>
      <w:szCs w:val="22"/>
    </w:rPr>
  </w:style>
  <w:style w:type="character" w:customStyle="1" w:styleId="SubtitleChar">
    <w:name w:val="Subtitle Char"/>
    <w:basedOn w:val="DefaultParagraphFont"/>
    <w:link w:val="Subtitle"/>
    <w:uiPriority w:val="11"/>
    <w:rsid w:val="00F94715"/>
    <w:rPr>
      <w:rFonts w:eastAsiaTheme="minorEastAsia"/>
      <w:color w:val="2459A9" w:themeColor="text1"/>
      <w:spacing w:val="15"/>
      <w:sz w:val="22"/>
      <w:szCs w:val="22"/>
    </w:rPr>
  </w:style>
  <w:style w:type="character" w:styleId="SubtleEmphasis">
    <w:name w:val="Subtle Emphasis"/>
    <w:basedOn w:val="DefaultParagraphFont"/>
    <w:uiPriority w:val="19"/>
    <w:qFormat/>
    <w:rsid w:val="00F94715"/>
    <w:rPr>
      <w:i/>
      <w:iCs/>
      <w:color w:val="2459A9" w:themeColor="text1"/>
    </w:rPr>
  </w:style>
  <w:style w:type="character" w:styleId="IntenseEmphasis">
    <w:name w:val="Intense Emphasis"/>
    <w:basedOn w:val="DefaultParagraphFont"/>
    <w:uiPriority w:val="21"/>
    <w:qFormat/>
    <w:rsid w:val="00F94715"/>
    <w:rPr>
      <w:i/>
      <w:iCs/>
      <w:color w:val="2459A9" w:themeColor="text1"/>
    </w:rPr>
  </w:style>
  <w:style w:type="paragraph" w:styleId="IntenseQuote">
    <w:name w:val="Intense Quote"/>
    <w:basedOn w:val="Normal"/>
    <w:next w:val="Normal"/>
    <w:link w:val="IntenseQuoteChar"/>
    <w:uiPriority w:val="30"/>
    <w:qFormat/>
    <w:rsid w:val="00F94715"/>
    <w:pPr>
      <w:pBdr>
        <w:top w:val="single" w:sz="4" w:space="10" w:color="007481" w:themeColor="accent5"/>
        <w:bottom w:val="single" w:sz="4" w:space="10" w:color="007481" w:themeColor="accent5"/>
      </w:pBdr>
      <w:spacing w:before="360" w:after="360"/>
      <w:ind w:left="864" w:right="864"/>
    </w:pPr>
    <w:rPr>
      <w:i/>
      <w:iCs/>
      <w:color w:val="007481" w:themeColor="accent5"/>
    </w:rPr>
  </w:style>
  <w:style w:type="character" w:customStyle="1" w:styleId="IntenseQuoteChar">
    <w:name w:val="Intense Quote Char"/>
    <w:basedOn w:val="DefaultParagraphFont"/>
    <w:link w:val="IntenseQuote"/>
    <w:uiPriority w:val="30"/>
    <w:rsid w:val="00F94715"/>
    <w:rPr>
      <w:i/>
      <w:iCs/>
      <w:color w:val="007481" w:themeColor="accent5"/>
      <w:sz w:val="22"/>
    </w:rPr>
  </w:style>
  <w:style w:type="character" w:styleId="SubtleReference">
    <w:name w:val="Subtle Reference"/>
    <w:basedOn w:val="DefaultParagraphFont"/>
    <w:uiPriority w:val="31"/>
    <w:qFormat/>
    <w:rsid w:val="00F94715"/>
    <w:rPr>
      <w:smallCaps/>
      <w:color w:val="007481" w:themeColor="accent5"/>
    </w:rPr>
  </w:style>
  <w:style w:type="character" w:styleId="IntenseReference">
    <w:name w:val="Intense Reference"/>
    <w:basedOn w:val="DefaultParagraphFont"/>
    <w:uiPriority w:val="32"/>
    <w:qFormat/>
    <w:rsid w:val="00F94715"/>
    <w:rPr>
      <w:b/>
      <w:bCs/>
      <w:smallCaps/>
      <w:color w:val="007481" w:themeColor="accent5"/>
      <w:spacing w:val="5"/>
    </w:rPr>
  </w:style>
  <w:style w:type="character" w:customStyle="1" w:styleId="Heading5Char">
    <w:name w:val="Heading 5 Char"/>
    <w:basedOn w:val="DefaultParagraphFont"/>
    <w:link w:val="Heading5"/>
    <w:uiPriority w:val="9"/>
    <w:rsid w:val="00297164"/>
    <w:rPr>
      <w:rFonts w:asciiTheme="majorHAnsi" w:eastAsiaTheme="majorEastAsia" w:hAnsiTheme="majorHAnsi" w:cstheme="majorBidi"/>
      <w:b/>
      <w:color w:val="262B67" w:themeColor="text2"/>
    </w:rPr>
  </w:style>
  <w:style w:type="character" w:customStyle="1" w:styleId="Heading6Char">
    <w:name w:val="Heading 6 Char"/>
    <w:basedOn w:val="DefaultParagraphFont"/>
    <w:link w:val="Heading6"/>
    <w:uiPriority w:val="9"/>
    <w:rsid w:val="00297164"/>
    <w:rPr>
      <w:rFonts w:asciiTheme="majorHAnsi" w:eastAsiaTheme="majorEastAsia" w:hAnsiTheme="majorHAnsi" w:cstheme="majorBidi"/>
      <w:color w:val="000000"/>
    </w:rPr>
  </w:style>
  <w:style w:type="table" w:styleId="PlainTable2">
    <w:name w:val="Plain Table 2"/>
    <w:basedOn w:val="TableNormal"/>
    <w:uiPriority w:val="42"/>
    <w:rsid w:val="00F03C03"/>
    <w:tblPr>
      <w:tblStyleRowBandSize w:val="1"/>
      <w:tblStyleColBandSize w:val="1"/>
      <w:tblBorders>
        <w:top w:val="single" w:sz="4" w:space="0" w:color="80A7E4" w:themeColor="text1" w:themeTint="80"/>
        <w:bottom w:val="single" w:sz="4" w:space="0" w:color="80A7E4" w:themeColor="text1" w:themeTint="80"/>
      </w:tblBorders>
    </w:tblPr>
    <w:tblStylePr w:type="firstRow">
      <w:rPr>
        <w:b/>
        <w:bCs/>
      </w:rPr>
      <w:tblPr/>
      <w:tcPr>
        <w:tcBorders>
          <w:bottom w:val="single" w:sz="4" w:space="0" w:color="80A7E4" w:themeColor="text1" w:themeTint="80"/>
        </w:tcBorders>
      </w:tcPr>
    </w:tblStylePr>
    <w:tblStylePr w:type="lastRow">
      <w:rPr>
        <w:b/>
        <w:bCs/>
      </w:rPr>
      <w:tblPr/>
      <w:tcPr>
        <w:tcBorders>
          <w:top w:val="single" w:sz="4" w:space="0" w:color="80A7E4" w:themeColor="text1" w:themeTint="80"/>
        </w:tcBorders>
      </w:tcPr>
    </w:tblStylePr>
    <w:tblStylePr w:type="firstCol">
      <w:rPr>
        <w:b/>
        <w:bCs/>
      </w:rPr>
    </w:tblStylePr>
    <w:tblStylePr w:type="lastCol">
      <w:rPr>
        <w:b/>
        <w:bCs/>
      </w:rPr>
    </w:tblStylePr>
    <w:tblStylePr w:type="band1Vert">
      <w:tblPr/>
      <w:tcPr>
        <w:tcBorders>
          <w:left w:val="single" w:sz="4" w:space="0" w:color="80A7E4" w:themeColor="text1" w:themeTint="80"/>
          <w:right w:val="single" w:sz="4" w:space="0" w:color="80A7E4" w:themeColor="text1" w:themeTint="80"/>
        </w:tcBorders>
      </w:tcPr>
    </w:tblStylePr>
    <w:tblStylePr w:type="band2Vert">
      <w:tblPr/>
      <w:tcPr>
        <w:tcBorders>
          <w:left w:val="single" w:sz="4" w:space="0" w:color="80A7E4" w:themeColor="text1" w:themeTint="80"/>
          <w:right w:val="single" w:sz="4" w:space="0" w:color="80A7E4" w:themeColor="text1" w:themeTint="80"/>
        </w:tcBorders>
      </w:tcPr>
    </w:tblStylePr>
    <w:tblStylePr w:type="band1Horz">
      <w:tblPr/>
      <w:tcPr>
        <w:tcBorders>
          <w:top w:val="single" w:sz="4" w:space="0" w:color="80A7E4" w:themeColor="text1" w:themeTint="80"/>
          <w:bottom w:val="single" w:sz="4" w:space="0" w:color="80A7E4" w:themeColor="text1" w:themeTint="80"/>
        </w:tcBorders>
      </w:tcPr>
    </w:tblStylePr>
  </w:style>
  <w:style w:type="table" w:styleId="PlainTable5">
    <w:name w:val="Plain Table 5"/>
    <w:basedOn w:val="TableNormal"/>
    <w:uiPriority w:val="45"/>
    <w:rsid w:val="00F03C03"/>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A7E4"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A7E4"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A7E4"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A7E4"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
    <w:name w:val="Grid Table 1 Light"/>
    <w:basedOn w:val="TableNormal"/>
    <w:uiPriority w:val="46"/>
    <w:rsid w:val="00F03C03"/>
    <w:tblPr>
      <w:tblStyleRowBandSize w:val="1"/>
      <w:tblStyleColBandSize w:val="1"/>
      <w:tblBorders>
        <w:top w:val="single" w:sz="4" w:space="0" w:color="9AB9E9" w:themeColor="text1" w:themeTint="66"/>
        <w:left w:val="single" w:sz="4" w:space="0" w:color="9AB9E9" w:themeColor="text1" w:themeTint="66"/>
        <w:bottom w:val="single" w:sz="4" w:space="0" w:color="9AB9E9" w:themeColor="text1" w:themeTint="66"/>
        <w:right w:val="single" w:sz="4" w:space="0" w:color="9AB9E9" w:themeColor="text1" w:themeTint="66"/>
        <w:insideH w:val="single" w:sz="4" w:space="0" w:color="9AB9E9" w:themeColor="text1" w:themeTint="66"/>
        <w:insideV w:val="single" w:sz="4" w:space="0" w:color="9AB9E9" w:themeColor="text1" w:themeTint="66"/>
      </w:tblBorders>
    </w:tblPr>
    <w:tblStylePr w:type="firstRow">
      <w:rPr>
        <w:b/>
        <w:bCs/>
      </w:rPr>
      <w:tblPr/>
      <w:tcPr>
        <w:tcBorders>
          <w:bottom w:val="single" w:sz="12" w:space="0" w:color="6897DE" w:themeColor="text1" w:themeTint="99"/>
        </w:tcBorders>
      </w:tcPr>
    </w:tblStylePr>
    <w:tblStylePr w:type="lastRow">
      <w:rPr>
        <w:b/>
        <w:bCs/>
      </w:rPr>
      <w:tblPr/>
      <w:tcPr>
        <w:tcBorders>
          <w:top w:val="double" w:sz="2" w:space="0" w:color="6897DE"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F03C03"/>
    <w:tblPr>
      <w:tblStyleRowBandSize w:val="1"/>
      <w:tblStyleColBandSize w:val="1"/>
      <w:tblBorders>
        <w:top w:val="single" w:sz="4" w:space="0" w:color="ACE2B2" w:themeColor="accent1" w:themeTint="66"/>
        <w:left w:val="single" w:sz="4" w:space="0" w:color="ACE2B2" w:themeColor="accent1" w:themeTint="66"/>
        <w:bottom w:val="single" w:sz="4" w:space="0" w:color="ACE2B2" w:themeColor="accent1" w:themeTint="66"/>
        <w:right w:val="single" w:sz="4" w:space="0" w:color="ACE2B2" w:themeColor="accent1" w:themeTint="66"/>
        <w:insideH w:val="single" w:sz="4" w:space="0" w:color="ACE2B2" w:themeColor="accent1" w:themeTint="66"/>
        <w:insideV w:val="single" w:sz="4" w:space="0" w:color="ACE2B2" w:themeColor="accent1" w:themeTint="66"/>
      </w:tblBorders>
    </w:tblPr>
    <w:tblStylePr w:type="firstRow">
      <w:rPr>
        <w:b/>
        <w:bCs/>
      </w:rPr>
      <w:tblPr/>
      <w:tcPr>
        <w:tcBorders>
          <w:bottom w:val="single" w:sz="12" w:space="0" w:color="83D48C" w:themeColor="accent1" w:themeTint="99"/>
        </w:tcBorders>
      </w:tcPr>
    </w:tblStylePr>
    <w:tblStylePr w:type="lastRow">
      <w:rPr>
        <w:b/>
        <w:bCs/>
      </w:rPr>
      <w:tblPr/>
      <w:tcPr>
        <w:tcBorders>
          <w:top w:val="double" w:sz="2" w:space="0" w:color="83D48C" w:themeColor="accent1"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F03C03"/>
    <w:tblPr>
      <w:tblStyleRowBandSize w:val="1"/>
      <w:tblStyleColBandSize w:val="1"/>
      <w:tblBorders>
        <w:top w:val="single" w:sz="4" w:space="0" w:color="F5B8B0" w:themeColor="accent3" w:themeTint="66"/>
        <w:left w:val="single" w:sz="4" w:space="0" w:color="F5B8B0" w:themeColor="accent3" w:themeTint="66"/>
        <w:bottom w:val="single" w:sz="4" w:space="0" w:color="F5B8B0" w:themeColor="accent3" w:themeTint="66"/>
        <w:right w:val="single" w:sz="4" w:space="0" w:color="F5B8B0" w:themeColor="accent3" w:themeTint="66"/>
        <w:insideH w:val="single" w:sz="4" w:space="0" w:color="F5B8B0" w:themeColor="accent3" w:themeTint="66"/>
        <w:insideV w:val="single" w:sz="4" w:space="0" w:color="F5B8B0" w:themeColor="accent3" w:themeTint="66"/>
      </w:tblBorders>
    </w:tblPr>
    <w:tblStylePr w:type="firstRow">
      <w:rPr>
        <w:b/>
        <w:bCs/>
      </w:rPr>
      <w:tblPr/>
      <w:tcPr>
        <w:tcBorders>
          <w:bottom w:val="single" w:sz="12" w:space="0" w:color="F09489" w:themeColor="accent3" w:themeTint="99"/>
        </w:tcBorders>
      </w:tcPr>
    </w:tblStylePr>
    <w:tblStylePr w:type="lastRow">
      <w:rPr>
        <w:b/>
        <w:bCs/>
      </w:rPr>
      <w:tblPr/>
      <w:tcPr>
        <w:tcBorders>
          <w:top w:val="double" w:sz="2" w:space="0" w:color="F09489" w:themeColor="accent3" w:themeTint="99"/>
        </w:tcBorders>
      </w:tcPr>
    </w:tblStylePr>
    <w:tblStylePr w:type="firstCol">
      <w:rPr>
        <w:b/>
        <w:bCs/>
      </w:rPr>
    </w:tblStylePr>
    <w:tblStylePr w:type="lastCol">
      <w:rPr>
        <w:b/>
        <w:bCs/>
      </w:rPr>
    </w:tblStylePr>
  </w:style>
  <w:style w:type="table" w:styleId="GridTable2">
    <w:name w:val="Grid Table 2"/>
    <w:basedOn w:val="TableNormal"/>
    <w:uiPriority w:val="47"/>
    <w:rsid w:val="00F03C03"/>
    <w:tblPr>
      <w:tblStyleRowBandSize w:val="1"/>
      <w:tblStyleColBandSize w:val="1"/>
      <w:tblBorders>
        <w:top w:val="single" w:sz="2" w:space="0" w:color="6897DE" w:themeColor="text1" w:themeTint="99"/>
        <w:bottom w:val="single" w:sz="2" w:space="0" w:color="6897DE" w:themeColor="text1" w:themeTint="99"/>
        <w:insideH w:val="single" w:sz="2" w:space="0" w:color="6897DE" w:themeColor="text1" w:themeTint="99"/>
        <w:insideV w:val="single" w:sz="2" w:space="0" w:color="6897DE" w:themeColor="text1" w:themeTint="99"/>
      </w:tblBorders>
    </w:tblPr>
    <w:tblStylePr w:type="firstRow">
      <w:rPr>
        <w:b/>
        <w:bCs/>
      </w:rPr>
      <w:tblPr/>
      <w:tcPr>
        <w:tcBorders>
          <w:top w:val="nil"/>
          <w:bottom w:val="single" w:sz="12" w:space="0" w:color="6897DE" w:themeColor="text1" w:themeTint="99"/>
          <w:insideH w:val="nil"/>
          <w:insideV w:val="nil"/>
        </w:tcBorders>
        <w:shd w:val="clear" w:color="auto" w:fill="FFFFFF" w:themeFill="background1"/>
      </w:tcPr>
    </w:tblStylePr>
    <w:tblStylePr w:type="lastRow">
      <w:rPr>
        <w:b/>
        <w:bCs/>
      </w:rPr>
      <w:tblPr/>
      <w:tcPr>
        <w:tcBorders>
          <w:top w:val="double" w:sz="2" w:space="0" w:color="6897DE"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DCF4" w:themeFill="text1" w:themeFillTint="33"/>
      </w:tcPr>
    </w:tblStylePr>
    <w:tblStylePr w:type="band1Horz">
      <w:tblPr/>
      <w:tcPr>
        <w:shd w:val="clear" w:color="auto" w:fill="CCDCF4" w:themeFill="text1" w:themeFillTint="33"/>
      </w:tcPr>
    </w:tblStylePr>
  </w:style>
  <w:style w:type="table" w:styleId="GridTable3">
    <w:name w:val="Grid Table 3"/>
    <w:basedOn w:val="TableNormal"/>
    <w:uiPriority w:val="48"/>
    <w:rsid w:val="00F03C03"/>
    <w:tblPr>
      <w:tblStyleRowBandSize w:val="1"/>
      <w:tblStyleColBandSize w:val="1"/>
      <w:tblBorders>
        <w:top w:val="single" w:sz="4" w:space="0" w:color="6897DE" w:themeColor="text1" w:themeTint="99"/>
        <w:left w:val="single" w:sz="4" w:space="0" w:color="6897DE" w:themeColor="text1" w:themeTint="99"/>
        <w:bottom w:val="single" w:sz="4" w:space="0" w:color="6897DE" w:themeColor="text1" w:themeTint="99"/>
        <w:right w:val="single" w:sz="4" w:space="0" w:color="6897DE" w:themeColor="text1" w:themeTint="99"/>
        <w:insideH w:val="single" w:sz="4" w:space="0" w:color="6897DE" w:themeColor="text1" w:themeTint="99"/>
        <w:insideV w:val="single" w:sz="4" w:space="0" w:color="6897DE"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DCF4" w:themeFill="text1" w:themeFillTint="33"/>
      </w:tcPr>
    </w:tblStylePr>
    <w:tblStylePr w:type="band1Horz">
      <w:tblPr/>
      <w:tcPr>
        <w:shd w:val="clear" w:color="auto" w:fill="CCDCF4" w:themeFill="text1" w:themeFillTint="33"/>
      </w:tcPr>
    </w:tblStylePr>
    <w:tblStylePr w:type="neCell">
      <w:tblPr/>
      <w:tcPr>
        <w:tcBorders>
          <w:bottom w:val="single" w:sz="4" w:space="0" w:color="6897DE" w:themeColor="text1" w:themeTint="99"/>
        </w:tcBorders>
      </w:tcPr>
    </w:tblStylePr>
    <w:tblStylePr w:type="nwCell">
      <w:tblPr/>
      <w:tcPr>
        <w:tcBorders>
          <w:bottom w:val="single" w:sz="4" w:space="0" w:color="6897DE" w:themeColor="text1" w:themeTint="99"/>
        </w:tcBorders>
      </w:tcPr>
    </w:tblStylePr>
    <w:tblStylePr w:type="seCell">
      <w:tblPr/>
      <w:tcPr>
        <w:tcBorders>
          <w:top w:val="single" w:sz="4" w:space="0" w:color="6897DE" w:themeColor="text1" w:themeTint="99"/>
        </w:tcBorders>
      </w:tcPr>
    </w:tblStylePr>
    <w:tblStylePr w:type="swCell">
      <w:tblPr/>
      <w:tcPr>
        <w:tcBorders>
          <w:top w:val="single" w:sz="4" w:space="0" w:color="6897DE" w:themeColor="text1" w:themeTint="99"/>
        </w:tcBorders>
      </w:tcPr>
    </w:tblStylePr>
  </w:style>
  <w:style w:type="table" w:styleId="GridTable3-Accent2">
    <w:name w:val="Grid Table 3 Accent 2"/>
    <w:basedOn w:val="TableNormal"/>
    <w:uiPriority w:val="48"/>
    <w:rsid w:val="00F03C03"/>
    <w:tblPr>
      <w:tblStyleRowBandSize w:val="1"/>
      <w:tblStyleColBandSize w:val="1"/>
      <w:tblBorders>
        <w:top w:val="single" w:sz="4" w:space="0" w:color="4FC3FF" w:themeColor="accent2" w:themeTint="99"/>
        <w:left w:val="single" w:sz="4" w:space="0" w:color="4FC3FF" w:themeColor="accent2" w:themeTint="99"/>
        <w:bottom w:val="single" w:sz="4" w:space="0" w:color="4FC3FF" w:themeColor="accent2" w:themeTint="99"/>
        <w:right w:val="single" w:sz="4" w:space="0" w:color="4FC3FF" w:themeColor="accent2" w:themeTint="99"/>
        <w:insideH w:val="single" w:sz="4" w:space="0" w:color="4FC3FF" w:themeColor="accent2" w:themeTint="99"/>
        <w:insideV w:val="single" w:sz="4" w:space="0" w:color="4FC3F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4EAFF" w:themeFill="accent2" w:themeFillTint="33"/>
      </w:tcPr>
    </w:tblStylePr>
    <w:tblStylePr w:type="band1Horz">
      <w:tblPr/>
      <w:tcPr>
        <w:shd w:val="clear" w:color="auto" w:fill="C4EAFF" w:themeFill="accent2" w:themeFillTint="33"/>
      </w:tcPr>
    </w:tblStylePr>
    <w:tblStylePr w:type="neCell">
      <w:tblPr/>
      <w:tcPr>
        <w:tcBorders>
          <w:bottom w:val="single" w:sz="4" w:space="0" w:color="4FC3FF" w:themeColor="accent2" w:themeTint="99"/>
        </w:tcBorders>
      </w:tcPr>
    </w:tblStylePr>
    <w:tblStylePr w:type="nwCell">
      <w:tblPr/>
      <w:tcPr>
        <w:tcBorders>
          <w:bottom w:val="single" w:sz="4" w:space="0" w:color="4FC3FF" w:themeColor="accent2" w:themeTint="99"/>
        </w:tcBorders>
      </w:tcPr>
    </w:tblStylePr>
    <w:tblStylePr w:type="seCell">
      <w:tblPr/>
      <w:tcPr>
        <w:tcBorders>
          <w:top w:val="single" w:sz="4" w:space="0" w:color="4FC3FF" w:themeColor="accent2" w:themeTint="99"/>
        </w:tcBorders>
      </w:tcPr>
    </w:tblStylePr>
    <w:tblStylePr w:type="swCell">
      <w:tblPr/>
      <w:tcPr>
        <w:tcBorders>
          <w:top w:val="single" w:sz="4" w:space="0" w:color="4FC3FF" w:themeColor="accent2" w:themeTint="99"/>
        </w:tcBorders>
      </w:tcPr>
    </w:tblStylePr>
  </w:style>
  <w:style w:type="paragraph" w:customStyle="1" w:styleId="Coverpageheading">
    <w:name w:val="Cover page heading"/>
    <w:basedOn w:val="Heading1"/>
    <w:qFormat/>
    <w:rsid w:val="005C1D6D"/>
    <w:rPr>
      <w:color w:val="262B67" w:themeColor="text2"/>
      <w:sz w:val="52"/>
      <w:szCs w:val="36"/>
      <w:lang w:val="en-AU"/>
    </w:rPr>
  </w:style>
  <w:style w:type="paragraph" w:styleId="TOCHeading">
    <w:name w:val="TOC Heading"/>
    <w:basedOn w:val="Heading1"/>
    <w:next w:val="Normal"/>
    <w:uiPriority w:val="39"/>
    <w:unhideWhenUsed/>
    <w:qFormat/>
    <w:rsid w:val="00297164"/>
    <w:pPr>
      <w:spacing w:before="480" w:after="0" w:line="276" w:lineRule="auto"/>
      <w:outlineLvl w:val="9"/>
    </w:pPr>
    <w:rPr>
      <w:rFonts w:cstheme="majorBidi"/>
      <w:bCs/>
      <w:szCs w:val="28"/>
      <w:lang w:val="en-US"/>
    </w:rPr>
  </w:style>
  <w:style w:type="paragraph" w:styleId="TOC1">
    <w:name w:val="toc 1"/>
    <w:basedOn w:val="Normal"/>
    <w:next w:val="Normal"/>
    <w:autoRedefine/>
    <w:uiPriority w:val="39"/>
    <w:unhideWhenUsed/>
    <w:rsid w:val="005C1D6D"/>
    <w:pPr>
      <w:spacing w:before="120" w:after="0"/>
    </w:pPr>
    <w:rPr>
      <w:rFonts w:cs="Arial (Body)"/>
      <w:b/>
      <w:bCs/>
      <w:iCs/>
    </w:rPr>
  </w:style>
  <w:style w:type="paragraph" w:styleId="TOC2">
    <w:name w:val="toc 2"/>
    <w:basedOn w:val="Normal"/>
    <w:next w:val="Normal"/>
    <w:autoRedefine/>
    <w:uiPriority w:val="39"/>
    <w:unhideWhenUsed/>
    <w:rsid w:val="005C1D6D"/>
    <w:pPr>
      <w:spacing w:before="120" w:after="0"/>
      <w:ind w:left="220"/>
    </w:pPr>
    <w:rPr>
      <w:rFonts w:cstheme="minorHAnsi"/>
      <w:b/>
      <w:bCs/>
      <w:szCs w:val="22"/>
    </w:rPr>
  </w:style>
  <w:style w:type="paragraph" w:styleId="TOC3">
    <w:name w:val="toc 3"/>
    <w:basedOn w:val="Normal"/>
    <w:next w:val="Normal"/>
    <w:autoRedefine/>
    <w:uiPriority w:val="39"/>
    <w:unhideWhenUsed/>
    <w:rsid w:val="005C1D6D"/>
    <w:pPr>
      <w:spacing w:before="120" w:after="0"/>
      <w:ind w:left="442"/>
    </w:pPr>
    <w:rPr>
      <w:rFonts w:cstheme="minorHAnsi"/>
      <w:szCs w:val="20"/>
    </w:rPr>
  </w:style>
  <w:style w:type="paragraph" w:styleId="TOC4">
    <w:name w:val="toc 4"/>
    <w:basedOn w:val="Normal"/>
    <w:next w:val="Normal"/>
    <w:autoRedefine/>
    <w:uiPriority w:val="39"/>
    <w:semiHidden/>
    <w:unhideWhenUsed/>
    <w:rsid w:val="005C1D6D"/>
    <w:pPr>
      <w:spacing w:after="0"/>
      <w:ind w:left="660"/>
    </w:pPr>
    <w:rPr>
      <w:rFonts w:cstheme="minorHAnsi"/>
      <w:sz w:val="20"/>
      <w:szCs w:val="20"/>
    </w:rPr>
  </w:style>
  <w:style w:type="paragraph" w:styleId="TOC5">
    <w:name w:val="toc 5"/>
    <w:basedOn w:val="Normal"/>
    <w:next w:val="Normal"/>
    <w:autoRedefine/>
    <w:uiPriority w:val="39"/>
    <w:semiHidden/>
    <w:unhideWhenUsed/>
    <w:rsid w:val="005C1D6D"/>
    <w:pPr>
      <w:spacing w:after="0"/>
      <w:ind w:left="880"/>
    </w:pPr>
    <w:rPr>
      <w:rFonts w:cstheme="minorHAnsi"/>
      <w:sz w:val="20"/>
      <w:szCs w:val="20"/>
    </w:rPr>
  </w:style>
  <w:style w:type="paragraph" w:styleId="TOC6">
    <w:name w:val="toc 6"/>
    <w:basedOn w:val="Normal"/>
    <w:next w:val="Normal"/>
    <w:autoRedefine/>
    <w:uiPriority w:val="39"/>
    <w:semiHidden/>
    <w:unhideWhenUsed/>
    <w:rsid w:val="005C1D6D"/>
    <w:pPr>
      <w:spacing w:after="0"/>
      <w:ind w:left="1100"/>
    </w:pPr>
    <w:rPr>
      <w:rFonts w:cstheme="minorHAnsi"/>
      <w:sz w:val="20"/>
      <w:szCs w:val="20"/>
    </w:rPr>
  </w:style>
  <w:style w:type="paragraph" w:styleId="TOC7">
    <w:name w:val="toc 7"/>
    <w:basedOn w:val="Normal"/>
    <w:next w:val="Normal"/>
    <w:autoRedefine/>
    <w:uiPriority w:val="39"/>
    <w:semiHidden/>
    <w:unhideWhenUsed/>
    <w:rsid w:val="005C1D6D"/>
    <w:pPr>
      <w:spacing w:after="0"/>
      <w:ind w:left="1320"/>
    </w:pPr>
    <w:rPr>
      <w:rFonts w:cstheme="minorHAnsi"/>
      <w:sz w:val="20"/>
      <w:szCs w:val="20"/>
    </w:rPr>
  </w:style>
  <w:style w:type="paragraph" w:styleId="TOC8">
    <w:name w:val="toc 8"/>
    <w:basedOn w:val="Normal"/>
    <w:next w:val="Normal"/>
    <w:autoRedefine/>
    <w:uiPriority w:val="39"/>
    <w:semiHidden/>
    <w:unhideWhenUsed/>
    <w:rsid w:val="005C1D6D"/>
    <w:pPr>
      <w:spacing w:after="0"/>
      <w:ind w:left="1540"/>
    </w:pPr>
    <w:rPr>
      <w:rFonts w:cstheme="minorHAnsi"/>
      <w:sz w:val="20"/>
      <w:szCs w:val="20"/>
    </w:rPr>
  </w:style>
  <w:style w:type="paragraph" w:styleId="TOC9">
    <w:name w:val="toc 9"/>
    <w:basedOn w:val="Normal"/>
    <w:next w:val="Normal"/>
    <w:autoRedefine/>
    <w:uiPriority w:val="39"/>
    <w:semiHidden/>
    <w:unhideWhenUsed/>
    <w:rsid w:val="005C1D6D"/>
    <w:pPr>
      <w:spacing w:after="0"/>
      <w:ind w:left="1760"/>
    </w:pPr>
    <w:rPr>
      <w:rFonts w:cstheme="minorHAnsi"/>
      <w:sz w:val="20"/>
      <w:szCs w:val="20"/>
    </w:rPr>
  </w:style>
  <w:style w:type="paragraph" w:customStyle="1" w:styleId="Acttextitalic">
    <w:name w:val="Act text italic"/>
    <w:basedOn w:val="Normal"/>
    <w:qFormat/>
    <w:rsid w:val="00BE2AAA"/>
    <w:rPr>
      <w:i/>
      <w:iCs/>
      <w:lang w:val="en-AU"/>
    </w:rPr>
  </w:style>
  <w:style w:type="table" w:styleId="GridTable6Colorful">
    <w:name w:val="Grid Table 6 Colorful"/>
    <w:basedOn w:val="TableNormal"/>
    <w:uiPriority w:val="51"/>
    <w:rsid w:val="00F9473B"/>
    <w:rPr>
      <w:color w:val="2459A9" w:themeColor="text1"/>
    </w:rPr>
    <w:tblPr>
      <w:tblStyleRowBandSize w:val="1"/>
      <w:tblStyleColBandSize w:val="1"/>
      <w:tblBorders>
        <w:top w:val="single" w:sz="4" w:space="0" w:color="6897DE" w:themeColor="text1" w:themeTint="99"/>
        <w:left w:val="single" w:sz="4" w:space="0" w:color="6897DE" w:themeColor="text1" w:themeTint="99"/>
        <w:bottom w:val="single" w:sz="4" w:space="0" w:color="6897DE" w:themeColor="text1" w:themeTint="99"/>
        <w:right w:val="single" w:sz="4" w:space="0" w:color="6897DE" w:themeColor="text1" w:themeTint="99"/>
        <w:insideH w:val="single" w:sz="4" w:space="0" w:color="6897DE" w:themeColor="text1" w:themeTint="99"/>
        <w:insideV w:val="single" w:sz="4" w:space="0" w:color="6897DE" w:themeColor="text1" w:themeTint="99"/>
      </w:tblBorders>
    </w:tblPr>
    <w:tblStylePr w:type="firstRow">
      <w:rPr>
        <w:b/>
        <w:bCs/>
      </w:rPr>
      <w:tblPr/>
      <w:tcPr>
        <w:tcBorders>
          <w:bottom w:val="single" w:sz="12" w:space="0" w:color="6897DE" w:themeColor="text1" w:themeTint="99"/>
        </w:tcBorders>
      </w:tcPr>
    </w:tblStylePr>
    <w:tblStylePr w:type="lastRow">
      <w:rPr>
        <w:b/>
        <w:bCs/>
      </w:rPr>
      <w:tblPr/>
      <w:tcPr>
        <w:tcBorders>
          <w:top w:val="double" w:sz="4" w:space="0" w:color="6897DE" w:themeColor="text1" w:themeTint="99"/>
        </w:tcBorders>
      </w:tcPr>
    </w:tblStylePr>
    <w:tblStylePr w:type="firstCol">
      <w:rPr>
        <w:b/>
        <w:bCs/>
      </w:rPr>
    </w:tblStylePr>
    <w:tblStylePr w:type="lastCol">
      <w:rPr>
        <w:b/>
        <w:bCs/>
      </w:rPr>
    </w:tblStylePr>
    <w:tblStylePr w:type="band1Vert">
      <w:tblPr/>
      <w:tcPr>
        <w:shd w:val="clear" w:color="auto" w:fill="CCDCF4" w:themeFill="text1" w:themeFillTint="33"/>
      </w:tcPr>
    </w:tblStylePr>
    <w:tblStylePr w:type="band1Horz">
      <w:tblPr/>
      <w:tcPr>
        <w:shd w:val="clear" w:color="auto" w:fill="CCDCF4" w:themeFill="text1" w:themeFillTint="33"/>
      </w:tcPr>
    </w:tblStylePr>
  </w:style>
  <w:style w:type="table" w:styleId="GridTable4">
    <w:name w:val="Grid Table 4"/>
    <w:basedOn w:val="TableNormal"/>
    <w:uiPriority w:val="49"/>
    <w:rsid w:val="00DB706C"/>
    <w:rPr>
      <w:lang w:val="en-AU"/>
    </w:rPr>
    <w:tblPr>
      <w:tblStyleRowBandSize w:val="1"/>
      <w:tblStyleColBandSize w:val="1"/>
      <w:tblBorders>
        <w:top w:val="single" w:sz="4" w:space="0" w:color="6897DE" w:themeColor="text1" w:themeTint="99"/>
        <w:left w:val="single" w:sz="4" w:space="0" w:color="6897DE" w:themeColor="text1" w:themeTint="99"/>
        <w:bottom w:val="single" w:sz="4" w:space="0" w:color="6897DE" w:themeColor="text1" w:themeTint="99"/>
        <w:right w:val="single" w:sz="4" w:space="0" w:color="6897DE" w:themeColor="text1" w:themeTint="99"/>
        <w:insideH w:val="single" w:sz="4" w:space="0" w:color="6897DE" w:themeColor="text1" w:themeTint="99"/>
        <w:insideV w:val="single" w:sz="4" w:space="0" w:color="6897DE" w:themeColor="text1" w:themeTint="99"/>
      </w:tblBorders>
    </w:tblPr>
    <w:tblStylePr w:type="firstRow">
      <w:rPr>
        <w:b/>
        <w:bCs/>
        <w:color w:val="FFFFFF" w:themeColor="background1"/>
      </w:rPr>
      <w:tblPr/>
      <w:tcPr>
        <w:tcBorders>
          <w:top w:val="single" w:sz="4" w:space="0" w:color="2459A9" w:themeColor="text1"/>
          <w:left w:val="single" w:sz="4" w:space="0" w:color="2459A9" w:themeColor="text1"/>
          <w:bottom w:val="single" w:sz="4" w:space="0" w:color="2459A9" w:themeColor="text1"/>
          <w:right w:val="single" w:sz="4" w:space="0" w:color="2459A9" w:themeColor="text1"/>
          <w:insideH w:val="nil"/>
          <w:insideV w:val="nil"/>
        </w:tcBorders>
        <w:shd w:val="clear" w:color="auto" w:fill="2459A9" w:themeFill="text1"/>
      </w:tcPr>
    </w:tblStylePr>
    <w:tblStylePr w:type="lastRow">
      <w:rPr>
        <w:b/>
        <w:bCs/>
      </w:rPr>
      <w:tblPr/>
      <w:tcPr>
        <w:tcBorders>
          <w:top w:val="double" w:sz="4" w:space="0" w:color="2459A9" w:themeColor="text1"/>
        </w:tcBorders>
      </w:tcPr>
    </w:tblStylePr>
    <w:tblStylePr w:type="firstCol">
      <w:rPr>
        <w:b/>
        <w:bCs/>
      </w:rPr>
    </w:tblStylePr>
    <w:tblStylePr w:type="lastCol">
      <w:rPr>
        <w:b/>
        <w:bCs/>
      </w:rPr>
    </w:tblStylePr>
    <w:tblStylePr w:type="band1Vert">
      <w:tblPr/>
      <w:tcPr>
        <w:shd w:val="clear" w:color="auto" w:fill="CCDCF4" w:themeFill="text1" w:themeFillTint="33"/>
      </w:tcPr>
    </w:tblStylePr>
    <w:tblStylePr w:type="band1Horz">
      <w:tblPr/>
      <w:tcPr>
        <w:shd w:val="clear" w:color="auto" w:fill="CCDCF4" w:themeFill="text1" w:themeFillTint="33"/>
      </w:tcPr>
    </w:tblStylePr>
  </w:style>
  <w:style w:type="table" w:styleId="GridTable2-Accent1">
    <w:name w:val="Grid Table 2 Accent 1"/>
    <w:basedOn w:val="TableNormal"/>
    <w:uiPriority w:val="47"/>
    <w:rsid w:val="00DB706C"/>
    <w:tblPr>
      <w:tblStyleRowBandSize w:val="1"/>
      <w:tblStyleColBandSize w:val="1"/>
      <w:tblBorders>
        <w:top w:val="single" w:sz="2" w:space="0" w:color="83D48C" w:themeColor="accent1" w:themeTint="99"/>
        <w:bottom w:val="single" w:sz="2" w:space="0" w:color="83D48C" w:themeColor="accent1" w:themeTint="99"/>
        <w:insideH w:val="single" w:sz="2" w:space="0" w:color="83D48C" w:themeColor="accent1" w:themeTint="99"/>
        <w:insideV w:val="single" w:sz="2" w:space="0" w:color="83D48C" w:themeColor="accent1" w:themeTint="99"/>
      </w:tblBorders>
    </w:tblPr>
    <w:tblStylePr w:type="firstRow">
      <w:rPr>
        <w:b/>
        <w:bCs/>
      </w:rPr>
      <w:tblPr/>
      <w:tcPr>
        <w:tcBorders>
          <w:top w:val="nil"/>
          <w:bottom w:val="single" w:sz="12" w:space="0" w:color="83D48C" w:themeColor="accent1" w:themeTint="99"/>
          <w:insideH w:val="nil"/>
          <w:insideV w:val="nil"/>
        </w:tcBorders>
        <w:shd w:val="clear" w:color="auto" w:fill="FFFFFF" w:themeFill="background1"/>
      </w:tcPr>
    </w:tblStylePr>
    <w:tblStylePr w:type="lastRow">
      <w:rPr>
        <w:b/>
        <w:bCs/>
      </w:rPr>
      <w:tblPr/>
      <w:tcPr>
        <w:tcBorders>
          <w:top w:val="double" w:sz="2" w:space="0" w:color="83D48C"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5F0D8" w:themeFill="accent1" w:themeFillTint="33"/>
      </w:tcPr>
    </w:tblStylePr>
    <w:tblStylePr w:type="band1Horz">
      <w:tblPr/>
      <w:tcPr>
        <w:shd w:val="clear" w:color="auto" w:fill="D5F0D8" w:themeFill="accent1" w:themeFillTint="33"/>
      </w:tcPr>
    </w:tblStylePr>
  </w:style>
  <w:style w:type="table" w:styleId="GridTable5Dark-Accent1">
    <w:name w:val="Grid Table 5 Dark Accent 1"/>
    <w:basedOn w:val="TableNormal"/>
    <w:uiPriority w:val="50"/>
    <w:rsid w:val="00DB706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5F0D8"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CAE49"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CAE49"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CAE49"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CAE49" w:themeFill="accent1"/>
      </w:tcPr>
    </w:tblStylePr>
    <w:tblStylePr w:type="band1Vert">
      <w:tblPr/>
      <w:tcPr>
        <w:shd w:val="clear" w:color="auto" w:fill="ACE2B2" w:themeFill="accent1" w:themeFillTint="66"/>
      </w:tcPr>
    </w:tblStylePr>
    <w:tblStylePr w:type="band1Horz">
      <w:tblPr/>
      <w:tcPr>
        <w:shd w:val="clear" w:color="auto" w:fill="ACE2B2" w:themeFill="accent1" w:themeFillTint="66"/>
      </w:tcPr>
    </w:tblStylePr>
  </w:style>
  <w:style w:type="table" w:styleId="GridTable5Dark-Accent2">
    <w:name w:val="Grid Table 5 Dark Accent 2"/>
    <w:basedOn w:val="TableNormal"/>
    <w:uiPriority w:val="50"/>
    <w:rsid w:val="00DB706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4EAFF"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90DA"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90DA"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90DA"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90DA" w:themeFill="accent2"/>
      </w:tcPr>
    </w:tblStylePr>
    <w:tblStylePr w:type="band1Vert">
      <w:tblPr/>
      <w:tcPr>
        <w:shd w:val="clear" w:color="auto" w:fill="8AD7FF" w:themeFill="accent2" w:themeFillTint="66"/>
      </w:tcPr>
    </w:tblStylePr>
    <w:tblStylePr w:type="band1Horz">
      <w:tblPr/>
      <w:tcPr>
        <w:shd w:val="clear" w:color="auto" w:fill="8AD7FF" w:themeFill="accent2" w:themeFillTint="66"/>
      </w:tcPr>
    </w:tblStylePr>
  </w:style>
  <w:style w:type="table" w:styleId="PlainTable3">
    <w:name w:val="Plain Table 3"/>
    <w:basedOn w:val="TableNormal"/>
    <w:uiPriority w:val="43"/>
    <w:rsid w:val="00DB706C"/>
    <w:tblPr>
      <w:tblStyleRowBandSize w:val="1"/>
      <w:tblStyleColBandSize w:val="1"/>
    </w:tblPr>
    <w:tblStylePr w:type="firstRow">
      <w:rPr>
        <w:b/>
        <w:bCs/>
        <w:caps/>
      </w:rPr>
      <w:tblPr/>
      <w:tcPr>
        <w:tcBorders>
          <w:bottom w:val="single" w:sz="4" w:space="0" w:color="80A7E4"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80A7E4"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DB706C"/>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1">
    <w:name w:val="Plain Table 1"/>
    <w:basedOn w:val="TableNormal"/>
    <w:uiPriority w:val="41"/>
    <w:rsid w:val="00DB706C"/>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2-Accent2">
    <w:name w:val="Grid Table 2 Accent 2"/>
    <w:basedOn w:val="TableNormal"/>
    <w:uiPriority w:val="47"/>
    <w:rsid w:val="00DB706C"/>
    <w:tblPr>
      <w:tblStyleRowBandSize w:val="1"/>
      <w:tblStyleColBandSize w:val="1"/>
      <w:tblBorders>
        <w:top w:val="single" w:sz="2" w:space="0" w:color="4FC3FF" w:themeColor="accent2" w:themeTint="99"/>
        <w:bottom w:val="single" w:sz="2" w:space="0" w:color="4FC3FF" w:themeColor="accent2" w:themeTint="99"/>
        <w:insideH w:val="single" w:sz="2" w:space="0" w:color="4FC3FF" w:themeColor="accent2" w:themeTint="99"/>
        <w:insideV w:val="single" w:sz="2" w:space="0" w:color="4FC3FF" w:themeColor="accent2" w:themeTint="99"/>
      </w:tblBorders>
    </w:tblPr>
    <w:tblStylePr w:type="firstRow">
      <w:rPr>
        <w:b/>
        <w:bCs/>
      </w:rPr>
      <w:tblPr/>
      <w:tcPr>
        <w:tcBorders>
          <w:top w:val="nil"/>
          <w:bottom w:val="single" w:sz="12" w:space="0" w:color="4FC3FF" w:themeColor="accent2" w:themeTint="99"/>
          <w:insideH w:val="nil"/>
          <w:insideV w:val="nil"/>
        </w:tcBorders>
        <w:shd w:val="clear" w:color="auto" w:fill="FFFFFF" w:themeFill="background1"/>
      </w:tcPr>
    </w:tblStylePr>
    <w:tblStylePr w:type="lastRow">
      <w:rPr>
        <w:b/>
        <w:bCs/>
      </w:rPr>
      <w:tblPr/>
      <w:tcPr>
        <w:tcBorders>
          <w:top w:val="double" w:sz="2" w:space="0" w:color="4FC3FF"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4EAFF" w:themeFill="accent2" w:themeFillTint="33"/>
      </w:tcPr>
    </w:tblStylePr>
    <w:tblStylePr w:type="band1Horz">
      <w:tblPr/>
      <w:tcPr>
        <w:shd w:val="clear" w:color="auto" w:fill="C4EAFF" w:themeFill="accent2" w:themeFillTint="33"/>
      </w:tcPr>
    </w:tblStylePr>
  </w:style>
  <w:style w:type="table" w:styleId="GridTable2-Accent4">
    <w:name w:val="Grid Table 2 Accent 4"/>
    <w:basedOn w:val="TableNormal"/>
    <w:uiPriority w:val="47"/>
    <w:rsid w:val="00DB706C"/>
    <w:tblPr>
      <w:tblStyleRowBandSize w:val="1"/>
      <w:tblStyleColBandSize w:val="1"/>
      <w:tblBorders>
        <w:top w:val="single" w:sz="2" w:space="0" w:color="A387C3" w:themeColor="accent4" w:themeTint="99"/>
        <w:bottom w:val="single" w:sz="2" w:space="0" w:color="A387C3" w:themeColor="accent4" w:themeTint="99"/>
        <w:insideH w:val="single" w:sz="2" w:space="0" w:color="A387C3" w:themeColor="accent4" w:themeTint="99"/>
        <w:insideV w:val="single" w:sz="2" w:space="0" w:color="A387C3" w:themeColor="accent4" w:themeTint="99"/>
      </w:tblBorders>
    </w:tblPr>
    <w:tblStylePr w:type="firstRow">
      <w:rPr>
        <w:b/>
        <w:bCs/>
      </w:rPr>
      <w:tblPr/>
      <w:tcPr>
        <w:tcBorders>
          <w:top w:val="nil"/>
          <w:bottom w:val="single" w:sz="12" w:space="0" w:color="A387C3" w:themeColor="accent4" w:themeTint="99"/>
          <w:insideH w:val="nil"/>
          <w:insideV w:val="nil"/>
        </w:tcBorders>
        <w:shd w:val="clear" w:color="auto" w:fill="FFFFFF" w:themeFill="background1"/>
      </w:tcPr>
    </w:tblStylePr>
    <w:tblStylePr w:type="lastRow">
      <w:rPr>
        <w:b/>
        <w:bCs/>
      </w:rPr>
      <w:tblPr/>
      <w:tcPr>
        <w:tcBorders>
          <w:top w:val="double" w:sz="2" w:space="0" w:color="A387C3"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D7EB" w:themeFill="accent4" w:themeFillTint="33"/>
      </w:tcPr>
    </w:tblStylePr>
    <w:tblStylePr w:type="band1Horz">
      <w:tblPr/>
      <w:tcPr>
        <w:shd w:val="clear" w:color="auto" w:fill="E0D7EB" w:themeFill="accent4" w:themeFillTint="33"/>
      </w:tcPr>
    </w:tblStylePr>
  </w:style>
  <w:style w:type="table" w:styleId="GridTable5Dark">
    <w:name w:val="Grid Table 5 Dark"/>
    <w:basedOn w:val="TableNormal"/>
    <w:uiPriority w:val="50"/>
    <w:rsid w:val="00DB706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DCF4"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459A9"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459A9"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459A9"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459A9" w:themeFill="text1"/>
      </w:tcPr>
    </w:tblStylePr>
    <w:tblStylePr w:type="band1Vert">
      <w:tblPr/>
      <w:tcPr>
        <w:shd w:val="clear" w:color="auto" w:fill="9AB9E9" w:themeFill="text1" w:themeFillTint="66"/>
      </w:tcPr>
    </w:tblStylePr>
    <w:tblStylePr w:type="band1Horz">
      <w:tblPr/>
      <w:tcPr>
        <w:shd w:val="clear" w:color="auto" w:fill="9AB9E9" w:themeFill="text1" w:themeFillTint="66"/>
      </w:tcPr>
    </w:tblStylePr>
  </w:style>
  <w:style w:type="table" w:styleId="GridTable4-Accent6">
    <w:name w:val="Grid Table 4 Accent 6"/>
    <w:basedOn w:val="TableNormal"/>
    <w:uiPriority w:val="49"/>
    <w:rsid w:val="00DB706C"/>
    <w:tblPr>
      <w:tblStyleRowBandSize w:val="1"/>
      <w:tblStyleColBandSize w:val="1"/>
      <w:tblBorders>
        <w:top w:val="single" w:sz="4" w:space="0" w:color="A426EA" w:themeColor="accent6" w:themeTint="99"/>
        <w:left w:val="single" w:sz="4" w:space="0" w:color="A426EA" w:themeColor="accent6" w:themeTint="99"/>
        <w:bottom w:val="single" w:sz="4" w:space="0" w:color="A426EA" w:themeColor="accent6" w:themeTint="99"/>
        <w:right w:val="single" w:sz="4" w:space="0" w:color="A426EA" w:themeColor="accent6" w:themeTint="99"/>
        <w:insideH w:val="single" w:sz="4" w:space="0" w:color="A426EA" w:themeColor="accent6" w:themeTint="99"/>
        <w:insideV w:val="single" w:sz="4" w:space="0" w:color="A426EA" w:themeColor="accent6" w:themeTint="99"/>
      </w:tblBorders>
    </w:tblPr>
    <w:tblStylePr w:type="firstRow">
      <w:rPr>
        <w:b/>
        <w:bCs/>
        <w:color w:val="FFFFFF" w:themeColor="background1"/>
      </w:rPr>
      <w:tblPr/>
      <w:tcPr>
        <w:tcBorders>
          <w:top w:val="single" w:sz="4" w:space="0" w:color="470A68" w:themeColor="accent6"/>
          <w:left w:val="single" w:sz="4" w:space="0" w:color="470A68" w:themeColor="accent6"/>
          <w:bottom w:val="single" w:sz="4" w:space="0" w:color="470A68" w:themeColor="accent6"/>
          <w:right w:val="single" w:sz="4" w:space="0" w:color="470A68" w:themeColor="accent6"/>
          <w:insideH w:val="nil"/>
          <w:insideV w:val="nil"/>
        </w:tcBorders>
        <w:shd w:val="clear" w:color="auto" w:fill="470A68" w:themeFill="accent6"/>
      </w:tcPr>
    </w:tblStylePr>
    <w:tblStylePr w:type="lastRow">
      <w:rPr>
        <w:b/>
        <w:bCs/>
      </w:rPr>
      <w:tblPr/>
      <w:tcPr>
        <w:tcBorders>
          <w:top w:val="double" w:sz="4" w:space="0" w:color="470A68" w:themeColor="accent6"/>
        </w:tcBorders>
      </w:tcPr>
    </w:tblStylePr>
    <w:tblStylePr w:type="firstCol">
      <w:rPr>
        <w:b/>
        <w:bCs/>
      </w:rPr>
    </w:tblStylePr>
    <w:tblStylePr w:type="lastCol">
      <w:rPr>
        <w:b/>
        <w:bCs/>
      </w:rPr>
    </w:tblStylePr>
    <w:tblStylePr w:type="band1Vert">
      <w:tblPr/>
      <w:tcPr>
        <w:shd w:val="clear" w:color="auto" w:fill="E0B6F8" w:themeFill="accent6" w:themeFillTint="33"/>
      </w:tcPr>
    </w:tblStylePr>
    <w:tblStylePr w:type="band1Horz">
      <w:tblPr/>
      <w:tcPr>
        <w:shd w:val="clear" w:color="auto" w:fill="E0B6F8" w:themeFill="accent6" w:themeFillTint="33"/>
      </w:tcPr>
    </w:tblStylePr>
  </w:style>
  <w:style w:type="table" w:styleId="GridTable4-Accent3">
    <w:name w:val="Grid Table 4 Accent 3"/>
    <w:basedOn w:val="TableNormal"/>
    <w:uiPriority w:val="49"/>
    <w:rsid w:val="00DB706C"/>
    <w:tblPr>
      <w:tblStyleRowBandSize w:val="1"/>
      <w:tblStyleColBandSize w:val="1"/>
      <w:tblBorders>
        <w:top w:val="single" w:sz="4" w:space="0" w:color="F09489" w:themeColor="accent3" w:themeTint="99"/>
        <w:left w:val="single" w:sz="4" w:space="0" w:color="F09489" w:themeColor="accent3" w:themeTint="99"/>
        <w:bottom w:val="single" w:sz="4" w:space="0" w:color="F09489" w:themeColor="accent3" w:themeTint="99"/>
        <w:right w:val="single" w:sz="4" w:space="0" w:color="F09489" w:themeColor="accent3" w:themeTint="99"/>
        <w:insideH w:val="single" w:sz="4" w:space="0" w:color="F09489" w:themeColor="accent3" w:themeTint="99"/>
        <w:insideV w:val="single" w:sz="4" w:space="0" w:color="F09489" w:themeColor="accent3" w:themeTint="99"/>
      </w:tblBorders>
    </w:tblPr>
    <w:tblStylePr w:type="firstRow">
      <w:rPr>
        <w:b/>
        <w:bCs/>
        <w:color w:val="FFFFFF" w:themeColor="background1"/>
      </w:rPr>
      <w:tblPr/>
      <w:tcPr>
        <w:tcBorders>
          <w:top w:val="single" w:sz="4" w:space="0" w:color="E74F3C" w:themeColor="accent3"/>
          <w:left w:val="single" w:sz="4" w:space="0" w:color="E74F3C" w:themeColor="accent3"/>
          <w:bottom w:val="single" w:sz="4" w:space="0" w:color="E74F3C" w:themeColor="accent3"/>
          <w:right w:val="single" w:sz="4" w:space="0" w:color="E74F3C" w:themeColor="accent3"/>
          <w:insideH w:val="nil"/>
          <w:insideV w:val="nil"/>
        </w:tcBorders>
        <w:shd w:val="clear" w:color="auto" w:fill="E74F3C" w:themeFill="accent3"/>
      </w:tcPr>
    </w:tblStylePr>
    <w:tblStylePr w:type="lastRow">
      <w:rPr>
        <w:b/>
        <w:bCs/>
      </w:rPr>
      <w:tblPr/>
      <w:tcPr>
        <w:tcBorders>
          <w:top w:val="double" w:sz="4" w:space="0" w:color="E74F3C" w:themeColor="accent3"/>
        </w:tcBorders>
      </w:tcPr>
    </w:tblStylePr>
    <w:tblStylePr w:type="firstCol">
      <w:rPr>
        <w:b/>
        <w:bCs/>
      </w:rPr>
    </w:tblStylePr>
    <w:tblStylePr w:type="lastCol">
      <w:rPr>
        <w:b/>
        <w:bCs/>
      </w:rPr>
    </w:tblStylePr>
    <w:tblStylePr w:type="band1Vert">
      <w:tblPr/>
      <w:tcPr>
        <w:shd w:val="clear" w:color="auto" w:fill="FADBD7" w:themeFill="accent3" w:themeFillTint="33"/>
      </w:tcPr>
    </w:tblStylePr>
    <w:tblStylePr w:type="band1Horz">
      <w:tblPr/>
      <w:tcPr>
        <w:shd w:val="clear" w:color="auto" w:fill="FADBD7" w:themeFill="accent3" w:themeFillTint="33"/>
      </w:tcPr>
    </w:tblStylePr>
  </w:style>
  <w:style w:type="table" w:styleId="GridTable7Colorful">
    <w:name w:val="Grid Table 7 Colorful"/>
    <w:basedOn w:val="TableNormal"/>
    <w:uiPriority w:val="52"/>
    <w:rsid w:val="00DB706C"/>
    <w:rPr>
      <w:color w:val="2459A9" w:themeColor="text1"/>
    </w:rPr>
    <w:tblPr>
      <w:tblStyleRowBandSize w:val="1"/>
      <w:tblStyleColBandSize w:val="1"/>
      <w:tblBorders>
        <w:top w:val="single" w:sz="4" w:space="0" w:color="6897DE" w:themeColor="text1" w:themeTint="99"/>
        <w:left w:val="single" w:sz="4" w:space="0" w:color="6897DE" w:themeColor="text1" w:themeTint="99"/>
        <w:bottom w:val="single" w:sz="4" w:space="0" w:color="6897DE" w:themeColor="text1" w:themeTint="99"/>
        <w:right w:val="single" w:sz="4" w:space="0" w:color="6897DE" w:themeColor="text1" w:themeTint="99"/>
        <w:insideH w:val="single" w:sz="4" w:space="0" w:color="6897DE" w:themeColor="text1" w:themeTint="99"/>
        <w:insideV w:val="single" w:sz="4" w:space="0" w:color="6897DE"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DCF4" w:themeFill="text1" w:themeFillTint="33"/>
      </w:tcPr>
    </w:tblStylePr>
    <w:tblStylePr w:type="band1Horz">
      <w:tblPr/>
      <w:tcPr>
        <w:shd w:val="clear" w:color="auto" w:fill="CCDCF4" w:themeFill="text1" w:themeFillTint="33"/>
      </w:tcPr>
    </w:tblStylePr>
    <w:tblStylePr w:type="neCell">
      <w:tblPr/>
      <w:tcPr>
        <w:tcBorders>
          <w:bottom w:val="single" w:sz="4" w:space="0" w:color="6897DE" w:themeColor="text1" w:themeTint="99"/>
        </w:tcBorders>
      </w:tcPr>
    </w:tblStylePr>
    <w:tblStylePr w:type="nwCell">
      <w:tblPr/>
      <w:tcPr>
        <w:tcBorders>
          <w:bottom w:val="single" w:sz="4" w:space="0" w:color="6897DE" w:themeColor="text1" w:themeTint="99"/>
        </w:tcBorders>
      </w:tcPr>
    </w:tblStylePr>
    <w:tblStylePr w:type="seCell">
      <w:tblPr/>
      <w:tcPr>
        <w:tcBorders>
          <w:top w:val="single" w:sz="4" w:space="0" w:color="6897DE" w:themeColor="text1" w:themeTint="99"/>
        </w:tcBorders>
      </w:tcPr>
    </w:tblStylePr>
    <w:tblStylePr w:type="swCell">
      <w:tblPr/>
      <w:tcPr>
        <w:tcBorders>
          <w:top w:val="single" w:sz="4" w:space="0" w:color="6897DE" w:themeColor="text1" w:themeTint="99"/>
        </w:tcBorders>
      </w:tcPr>
    </w:tblStylePr>
  </w:style>
  <w:style w:type="table" w:styleId="GridTable7Colorful-Accent1">
    <w:name w:val="Grid Table 7 Colorful Accent 1"/>
    <w:basedOn w:val="TableNormal"/>
    <w:uiPriority w:val="52"/>
    <w:rsid w:val="00DB706C"/>
    <w:rPr>
      <w:color w:val="2D8236" w:themeColor="accent1" w:themeShade="BF"/>
    </w:rPr>
    <w:tblPr>
      <w:tblStyleRowBandSize w:val="1"/>
      <w:tblStyleColBandSize w:val="1"/>
      <w:tblBorders>
        <w:top w:val="single" w:sz="4" w:space="0" w:color="83D48C" w:themeColor="accent1" w:themeTint="99"/>
        <w:left w:val="single" w:sz="4" w:space="0" w:color="83D48C" w:themeColor="accent1" w:themeTint="99"/>
        <w:bottom w:val="single" w:sz="4" w:space="0" w:color="83D48C" w:themeColor="accent1" w:themeTint="99"/>
        <w:right w:val="single" w:sz="4" w:space="0" w:color="83D48C" w:themeColor="accent1" w:themeTint="99"/>
        <w:insideH w:val="single" w:sz="4" w:space="0" w:color="83D48C" w:themeColor="accent1" w:themeTint="99"/>
        <w:insideV w:val="single" w:sz="4" w:space="0" w:color="83D48C"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5F0D8" w:themeFill="accent1" w:themeFillTint="33"/>
      </w:tcPr>
    </w:tblStylePr>
    <w:tblStylePr w:type="band1Horz">
      <w:tblPr/>
      <w:tcPr>
        <w:shd w:val="clear" w:color="auto" w:fill="D5F0D8" w:themeFill="accent1" w:themeFillTint="33"/>
      </w:tcPr>
    </w:tblStylePr>
    <w:tblStylePr w:type="neCell">
      <w:tblPr/>
      <w:tcPr>
        <w:tcBorders>
          <w:bottom w:val="single" w:sz="4" w:space="0" w:color="83D48C" w:themeColor="accent1" w:themeTint="99"/>
        </w:tcBorders>
      </w:tcPr>
    </w:tblStylePr>
    <w:tblStylePr w:type="nwCell">
      <w:tblPr/>
      <w:tcPr>
        <w:tcBorders>
          <w:bottom w:val="single" w:sz="4" w:space="0" w:color="83D48C" w:themeColor="accent1" w:themeTint="99"/>
        </w:tcBorders>
      </w:tcPr>
    </w:tblStylePr>
    <w:tblStylePr w:type="seCell">
      <w:tblPr/>
      <w:tcPr>
        <w:tcBorders>
          <w:top w:val="single" w:sz="4" w:space="0" w:color="83D48C" w:themeColor="accent1" w:themeTint="99"/>
        </w:tcBorders>
      </w:tcPr>
    </w:tblStylePr>
    <w:tblStylePr w:type="swCell">
      <w:tblPr/>
      <w:tcPr>
        <w:tcBorders>
          <w:top w:val="single" w:sz="4" w:space="0" w:color="83D48C" w:themeColor="accent1" w:themeTint="99"/>
        </w:tcBorders>
      </w:tcPr>
    </w:tblStylePr>
  </w:style>
  <w:style w:type="table" w:styleId="GridTable6Colorful-Accent4">
    <w:name w:val="Grid Table 6 Colorful Accent 4"/>
    <w:basedOn w:val="TableNormal"/>
    <w:uiPriority w:val="51"/>
    <w:rsid w:val="00DB706C"/>
    <w:rPr>
      <w:color w:val="4D3569" w:themeColor="accent4" w:themeShade="BF"/>
    </w:rPr>
    <w:tblPr>
      <w:tblStyleRowBandSize w:val="1"/>
      <w:tblStyleColBandSize w:val="1"/>
      <w:tblBorders>
        <w:top w:val="single" w:sz="4" w:space="0" w:color="A387C3" w:themeColor="accent4" w:themeTint="99"/>
        <w:left w:val="single" w:sz="4" w:space="0" w:color="A387C3" w:themeColor="accent4" w:themeTint="99"/>
        <w:bottom w:val="single" w:sz="4" w:space="0" w:color="A387C3" w:themeColor="accent4" w:themeTint="99"/>
        <w:right w:val="single" w:sz="4" w:space="0" w:color="A387C3" w:themeColor="accent4" w:themeTint="99"/>
        <w:insideH w:val="single" w:sz="4" w:space="0" w:color="A387C3" w:themeColor="accent4" w:themeTint="99"/>
        <w:insideV w:val="single" w:sz="4" w:space="0" w:color="A387C3" w:themeColor="accent4" w:themeTint="99"/>
      </w:tblBorders>
    </w:tblPr>
    <w:tblStylePr w:type="firstRow">
      <w:rPr>
        <w:b/>
        <w:bCs/>
      </w:rPr>
      <w:tblPr/>
      <w:tcPr>
        <w:tcBorders>
          <w:bottom w:val="single" w:sz="12" w:space="0" w:color="A387C3" w:themeColor="accent4" w:themeTint="99"/>
        </w:tcBorders>
      </w:tcPr>
    </w:tblStylePr>
    <w:tblStylePr w:type="lastRow">
      <w:rPr>
        <w:b/>
        <w:bCs/>
      </w:rPr>
      <w:tblPr/>
      <w:tcPr>
        <w:tcBorders>
          <w:top w:val="double" w:sz="4" w:space="0" w:color="A387C3" w:themeColor="accent4" w:themeTint="99"/>
        </w:tcBorders>
      </w:tcPr>
    </w:tblStylePr>
    <w:tblStylePr w:type="firstCol">
      <w:rPr>
        <w:b/>
        <w:bCs/>
      </w:rPr>
    </w:tblStylePr>
    <w:tblStylePr w:type="lastCol">
      <w:rPr>
        <w:b/>
        <w:bCs/>
      </w:rPr>
    </w:tblStylePr>
    <w:tblStylePr w:type="band1Vert">
      <w:tblPr/>
      <w:tcPr>
        <w:shd w:val="clear" w:color="auto" w:fill="E0D7EB" w:themeFill="accent4" w:themeFillTint="33"/>
      </w:tcPr>
    </w:tblStylePr>
    <w:tblStylePr w:type="band1Horz">
      <w:tblPr/>
      <w:tcPr>
        <w:shd w:val="clear" w:color="auto" w:fill="E0D7EB" w:themeFill="accent4" w:themeFillTint="33"/>
      </w:tcPr>
    </w:tblStylePr>
  </w:style>
  <w:style w:type="table" w:styleId="GridTable6Colorful-Accent3">
    <w:name w:val="Grid Table 6 Colorful Accent 3"/>
    <w:basedOn w:val="TableNormal"/>
    <w:uiPriority w:val="51"/>
    <w:rsid w:val="00DB706C"/>
    <w:rPr>
      <w:color w:val="C12A18" w:themeColor="accent3" w:themeShade="BF"/>
    </w:rPr>
    <w:tblPr>
      <w:tblStyleRowBandSize w:val="1"/>
      <w:tblStyleColBandSize w:val="1"/>
      <w:tblBorders>
        <w:top w:val="single" w:sz="4" w:space="0" w:color="F09489" w:themeColor="accent3" w:themeTint="99"/>
        <w:left w:val="single" w:sz="4" w:space="0" w:color="F09489" w:themeColor="accent3" w:themeTint="99"/>
        <w:bottom w:val="single" w:sz="4" w:space="0" w:color="F09489" w:themeColor="accent3" w:themeTint="99"/>
        <w:right w:val="single" w:sz="4" w:space="0" w:color="F09489" w:themeColor="accent3" w:themeTint="99"/>
        <w:insideH w:val="single" w:sz="4" w:space="0" w:color="F09489" w:themeColor="accent3" w:themeTint="99"/>
        <w:insideV w:val="single" w:sz="4" w:space="0" w:color="F09489" w:themeColor="accent3" w:themeTint="99"/>
      </w:tblBorders>
    </w:tblPr>
    <w:tblStylePr w:type="firstRow">
      <w:rPr>
        <w:b/>
        <w:bCs/>
      </w:rPr>
      <w:tblPr/>
      <w:tcPr>
        <w:tcBorders>
          <w:bottom w:val="single" w:sz="12" w:space="0" w:color="F09489" w:themeColor="accent3" w:themeTint="99"/>
        </w:tcBorders>
      </w:tcPr>
    </w:tblStylePr>
    <w:tblStylePr w:type="lastRow">
      <w:rPr>
        <w:b/>
        <w:bCs/>
      </w:rPr>
      <w:tblPr/>
      <w:tcPr>
        <w:tcBorders>
          <w:top w:val="double" w:sz="4" w:space="0" w:color="F09489" w:themeColor="accent3" w:themeTint="99"/>
        </w:tcBorders>
      </w:tcPr>
    </w:tblStylePr>
    <w:tblStylePr w:type="firstCol">
      <w:rPr>
        <w:b/>
        <w:bCs/>
      </w:rPr>
    </w:tblStylePr>
    <w:tblStylePr w:type="lastCol">
      <w:rPr>
        <w:b/>
        <w:bCs/>
      </w:rPr>
    </w:tblStylePr>
    <w:tblStylePr w:type="band1Vert">
      <w:tblPr/>
      <w:tcPr>
        <w:shd w:val="clear" w:color="auto" w:fill="FADBD7" w:themeFill="accent3" w:themeFillTint="33"/>
      </w:tcPr>
    </w:tblStylePr>
    <w:tblStylePr w:type="band1Horz">
      <w:tblPr/>
      <w:tcPr>
        <w:shd w:val="clear" w:color="auto" w:fill="FADBD7" w:themeFill="accent3" w:themeFillTint="33"/>
      </w:tcPr>
    </w:tblStylePr>
  </w:style>
  <w:style w:type="table" w:styleId="GridTable6Colorful-Accent2">
    <w:name w:val="Grid Table 6 Colorful Accent 2"/>
    <w:basedOn w:val="TableNormal"/>
    <w:uiPriority w:val="51"/>
    <w:rsid w:val="00DB706C"/>
    <w:rPr>
      <w:color w:val="006BA3" w:themeColor="accent2" w:themeShade="BF"/>
    </w:rPr>
    <w:tblPr>
      <w:tblStyleRowBandSize w:val="1"/>
      <w:tblStyleColBandSize w:val="1"/>
      <w:tblBorders>
        <w:top w:val="single" w:sz="4" w:space="0" w:color="4FC3FF" w:themeColor="accent2" w:themeTint="99"/>
        <w:left w:val="single" w:sz="4" w:space="0" w:color="4FC3FF" w:themeColor="accent2" w:themeTint="99"/>
        <w:bottom w:val="single" w:sz="4" w:space="0" w:color="4FC3FF" w:themeColor="accent2" w:themeTint="99"/>
        <w:right w:val="single" w:sz="4" w:space="0" w:color="4FC3FF" w:themeColor="accent2" w:themeTint="99"/>
        <w:insideH w:val="single" w:sz="4" w:space="0" w:color="4FC3FF" w:themeColor="accent2" w:themeTint="99"/>
        <w:insideV w:val="single" w:sz="4" w:space="0" w:color="4FC3FF" w:themeColor="accent2" w:themeTint="99"/>
      </w:tblBorders>
    </w:tblPr>
    <w:tblStylePr w:type="firstRow">
      <w:rPr>
        <w:b/>
        <w:bCs/>
      </w:rPr>
      <w:tblPr/>
      <w:tcPr>
        <w:tcBorders>
          <w:bottom w:val="single" w:sz="12" w:space="0" w:color="4FC3FF" w:themeColor="accent2" w:themeTint="99"/>
        </w:tcBorders>
      </w:tcPr>
    </w:tblStylePr>
    <w:tblStylePr w:type="lastRow">
      <w:rPr>
        <w:b/>
        <w:bCs/>
      </w:rPr>
      <w:tblPr/>
      <w:tcPr>
        <w:tcBorders>
          <w:top w:val="double" w:sz="4" w:space="0" w:color="4FC3FF" w:themeColor="accent2" w:themeTint="99"/>
        </w:tcBorders>
      </w:tcPr>
    </w:tblStylePr>
    <w:tblStylePr w:type="firstCol">
      <w:rPr>
        <w:b/>
        <w:bCs/>
      </w:rPr>
    </w:tblStylePr>
    <w:tblStylePr w:type="lastCol">
      <w:rPr>
        <w:b/>
        <w:bCs/>
      </w:rPr>
    </w:tblStylePr>
    <w:tblStylePr w:type="band1Vert">
      <w:tblPr/>
      <w:tcPr>
        <w:shd w:val="clear" w:color="auto" w:fill="C4EAFF" w:themeFill="accent2" w:themeFillTint="33"/>
      </w:tcPr>
    </w:tblStylePr>
    <w:tblStylePr w:type="band1Horz">
      <w:tblPr/>
      <w:tcPr>
        <w:shd w:val="clear" w:color="auto" w:fill="C4EAFF" w:themeFill="accent2" w:themeFillTint="33"/>
      </w:tcPr>
    </w:tblStylePr>
  </w:style>
  <w:style w:type="table" w:styleId="GridTable6Colorful-Accent1">
    <w:name w:val="Grid Table 6 Colorful Accent 1"/>
    <w:basedOn w:val="TableNormal"/>
    <w:uiPriority w:val="51"/>
    <w:rsid w:val="00DB706C"/>
    <w:rPr>
      <w:color w:val="2D8236" w:themeColor="accent1" w:themeShade="BF"/>
    </w:rPr>
    <w:tblPr>
      <w:tblStyleRowBandSize w:val="1"/>
      <w:tblStyleColBandSize w:val="1"/>
      <w:tblBorders>
        <w:top w:val="single" w:sz="4" w:space="0" w:color="83D48C" w:themeColor="accent1" w:themeTint="99"/>
        <w:left w:val="single" w:sz="4" w:space="0" w:color="83D48C" w:themeColor="accent1" w:themeTint="99"/>
        <w:bottom w:val="single" w:sz="4" w:space="0" w:color="83D48C" w:themeColor="accent1" w:themeTint="99"/>
        <w:right w:val="single" w:sz="4" w:space="0" w:color="83D48C" w:themeColor="accent1" w:themeTint="99"/>
        <w:insideH w:val="single" w:sz="4" w:space="0" w:color="83D48C" w:themeColor="accent1" w:themeTint="99"/>
        <w:insideV w:val="single" w:sz="4" w:space="0" w:color="83D48C" w:themeColor="accent1" w:themeTint="99"/>
      </w:tblBorders>
    </w:tblPr>
    <w:tblStylePr w:type="firstRow">
      <w:rPr>
        <w:b/>
        <w:bCs/>
      </w:rPr>
      <w:tblPr/>
      <w:tcPr>
        <w:tcBorders>
          <w:bottom w:val="single" w:sz="12" w:space="0" w:color="83D48C" w:themeColor="accent1" w:themeTint="99"/>
        </w:tcBorders>
      </w:tcPr>
    </w:tblStylePr>
    <w:tblStylePr w:type="lastRow">
      <w:rPr>
        <w:b/>
        <w:bCs/>
      </w:rPr>
      <w:tblPr/>
      <w:tcPr>
        <w:tcBorders>
          <w:top w:val="double" w:sz="4" w:space="0" w:color="83D48C" w:themeColor="accent1" w:themeTint="99"/>
        </w:tcBorders>
      </w:tcPr>
    </w:tblStylePr>
    <w:tblStylePr w:type="firstCol">
      <w:rPr>
        <w:b/>
        <w:bCs/>
      </w:rPr>
    </w:tblStylePr>
    <w:tblStylePr w:type="lastCol">
      <w:rPr>
        <w:b/>
        <w:bCs/>
      </w:rPr>
    </w:tblStylePr>
    <w:tblStylePr w:type="band1Vert">
      <w:tblPr/>
      <w:tcPr>
        <w:shd w:val="clear" w:color="auto" w:fill="D5F0D8" w:themeFill="accent1" w:themeFillTint="33"/>
      </w:tcPr>
    </w:tblStylePr>
    <w:tblStylePr w:type="band1Horz">
      <w:tblPr/>
      <w:tcPr>
        <w:shd w:val="clear" w:color="auto" w:fill="D5F0D8" w:themeFill="accent1" w:themeFillTint="33"/>
      </w:tcPr>
    </w:tblStylePr>
  </w:style>
  <w:style w:type="table" w:styleId="GridTable7Colorful-Accent2">
    <w:name w:val="Grid Table 7 Colorful Accent 2"/>
    <w:basedOn w:val="TableNormal"/>
    <w:uiPriority w:val="52"/>
    <w:rsid w:val="00DB706C"/>
    <w:rPr>
      <w:color w:val="006BA3" w:themeColor="accent2" w:themeShade="BF"/>
    </w:rPr>
    <w:tblPr>
      <w:tblStyleRowBandSize w:val="1"/>
      <w:tblStyleColBandSize w:val="1"/>
      <w:tblBorders>
        <w:top w:val="single" w:sz="4" w:space="0" w:color="4FC3FF" w:themeColor="accent2" w:themeTint="99"/>
        <w:left w:val="single" w:sz="4" w:space="0" w:color="4FC3FF" w:themeColor="accent2" w:themeTint="99"/>
        <w:bottom w:val="single" w:sz="4" w:space="0" w:color="4FC3FF" w:themeColor="accent2" w:themeTint="99"/>
        <w:right w:val="single" w:sz="4" w:space="0" w:color="4FC3FF" w:themeColor="accent2" w:themeTint="99"/>
        <w:insideH w:val="single" w:sz="4" w:space="0" w:color="4FC3FF" w:themeColor="accent2" w:themeTint="99"/>
        <w:insideV w:val="single" w:sz="4" w:space="0" w:color="4FC3F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4EAFF" w:themeFill="accent2" w:themeFillTint="33"/>
      </w:tcPr>
    </w:tblStylePr>
    <w:tblStylePr w:type="band1Horz">
      <w:tblPr/>
      <w:tcPr>
        <w:shd w:val="clear" w:color="auto" w:fill="C4EAFF" w:themeFill="accent2" w:themeFillTint="33"/>
      </w:tcPr>
    </w:tblStylePr>
    <w:tblStylePr w:type="neCell">
      <w:tblPr/>
      <w:tcPr>
        <w:tcBorders>
          <w:bottom w:val="single" w:sz="4" w:space="0" w:color="4FC3FF" w:themeColor="accent2" w:themeTint="99"/>
        </w:tcBorders>
      </w:tcPr>
    </w:tblStylePr>
    <w:tblStylePr w:type="nwCell">
      <w:tblPr/>
      <w:tcPr>
        <w:tcBorders>
          <w:bottom w:val="single" w:sz="4" w:space="0" w:color="4FC3FF" w:themeColor="accent2" w:themeTint="99"/>
        </w:tcBorders>
      </w:tcPr>
    </w:tblStylePr>
    <w:tblStylePr w:type="seCell">
      <w:tblPr/>
      <w:tcPr>
        <w:tcBorders>
          <w:top w:val="single" w:sz="4" w:space="0" w:color="4FC3FF" w:themeColor="accent2" w:themeTint="99"/>
        </w:tcBorders>
      </w:tcPr>
    </w:tblStylePr>
    <w:tblStylePr w:type="swCell">
      <w:tblPr/>
      <w:tcPr>
        <w:tcBorders>
          <w:top w:val="single" w:sz="4" w:space="0" w:color="4FC3FF" w:themeColor="accent2" w:themeTint="99"/>
        </w:tcBorders>
      </w:tcPr>
    </w:tblStylePr>
  </w:style>
  <w:style w:type="table" w:styleId="GridTable7Colorful-Accent3">
    <w:name w:val="Grid Table 7 Colorful Accent 3"/>
    <w:basedOn w:val="TableNormal"/>
    <w:uiPriority w:val="52"/>
    <w:rsid w:val="00DB706C"/>
    <w:rPr>
      <w:color w:val="C12A18" w:themeColor="accent3" w:themeShade="BF"/>
    </w:rPr>
    <w:tblPr>
      <w:tblStyleRowBandSize w:val="1"/>
      <w:tblStyleColBandSize w:val="1"/>
      <w:tblBorders>
        <w:top w:val="single" w:sz="4" w:space="0" w:color="F09489" w:themeColor="accent3" w:themeTint="99"/>
        <w:left w:val="single" w:sz="4" w:space="0" w:color="F09489" w:themeColor="accent3" w:themeTint="99"/>
        <w:bottom w:val="single" w:sz="4" w:space="0" w:color="F09489" w:themeColor="accent3" w:themeTint="99"/>
        <w:right w:val="single" w:sz="4" w:space="0" w:color="F09489" w:themeColor="accent3" w:themeTint="99"/>
        <w:insideH w:val="single" w:sz="4" w:space="0" w:color="F09489" w:themeColor="accent3" w:themeTint="99"/>
        <w:insideV w:val="single" w:sz="4" w:space="0" w:color="F0948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DBD7" w:themeFill="accent3" w:themeFillTint="33"/>
      </w:tcPr>
    </w:tblStylePr>
    <w:tblStylePr w:type="band1Horz">
      <w:tblPr/>
      <w:tcPr>
        <w:shd w:val="clear" w:color="auto" w:fill="FADBD7" w:themeFill="accent3" w:themeFillTint="33"/>
      </w:tcPr>
    </w:tblStylePr>
    <w:tblStylePr w:type="neCell">
      <w:tblPr/>
      <w:tcPr>
        <w:tcBorders>
          <w:bottom w:val="single" w:sz="4" w:space="0" w:color="F09489" w:themeColor="accent3" w:themeTint="99"/>
        </w:tcBorders>
      </w:tcPr>
    </w:tblStylePr>
    <w:tblStylePr w:type="nwCell">
      <w:tblPr/>
      <w:tcPr>
        <w:tcBorders>
          <w:bottom w:val="single" w:sz="4" w:space="0" w:color="F09489" w:themeColor="accent3" w:themeTint="99"/>
        </w:tcBorders>
      </w:tcPr>
    </w:tblStylePr>
    <w:tblStylePr w:type="seCell">
      <w:tblPr/>
      <w:tcPr>
        <w:tcBorders>
          <w:top w:val="single" w:sz="4" w:space="0" w:color="F09489" w:themeColor="accent3" w:themeTint="99"/>
        </w:tcBorders>
      </w:tcPr>
    </w:tblStylePr>
    <w:tblStylePr w:type="swCell">
      <w:tblPr/>
      <w:tcPr>
        <w:tcBorders>
          <w:top w:val="single" w:sz="4" w:space="0" w:color="F09489" w:themeColor="accent3" w:themeTint="99"/>
        </w:tcBorders>
      </w:tcPr>
    </w:tblStylePr>
  </w:style>
  <w:style w:type="table" w:styleId="GridTable7Colorful-Accent4">
    <w:name w:val="Grid Table 7 Colorful Accent 4"/>
    <w:basedOn w:val="TableNormal"/>
    <w:uiPriority w:val="52"/>
    <w:rsid w:val="00DB706C"/>
    <w:rPr>
      <w:color w:val="4D3569" w:themeColor="accent4" w:themeShade="BF"/>
    </w:rPr>
    <w:tblPr>
      <w:tblStyleRowBandSize w:val="1"/>
      <w:tblStyleColBandSize w:val="1"/>
      <w:tblBorders>
        <w:top w:val="single" w:sz="4" w:space="0" w:color="A387C3" w:themeColor="accent4" w:themeTint="99"/>
        <w:left w:val="single" w:sz="4" w:space="0" w:color="A387C3" w:themeColor="accent4" w:themeTint="99"/>
        <w:bottom w:val="single" w:sz="4" w:space="0" w:color="A387C3" w:themeColor="accent4" w:themeTint="99"/>
        <w:right w:val="single" w:sz="4" w:space="0" w:color="A387C3" w:themeColor="accent4" w:themeTint="99"/>
        <w:insideH w:val="single" w:sz="4" w:space="0" w:color="A387C3" w:themeColor="accent4" w:themeTint="99"/>
        <w:insideV w:val="single" w:sz="4" w:space="0" w:color="A387C3"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D7EB" w:themeFill="accent4" w:themeFillTint="33"/>
      </w:tcPr>
    </w:tblStylePr>
    <w:tblStylePr w:type="band1Horz">
      <w:tblPr/>
      <w:tcPr>
        <w:shd w:val="clear" w:color="auto" w:fill="E0D7EB" w:themeFill="accent4" w:themeFillTint="33"/>
      </w:tcPr>
    </w:tblStylePr>
    <w:tblStylePr w:type="neCell">
      <w:tblPr/>
      <w:tcPr>
        <w:tcBorders>
          <w:bottom w:val="single" w:sz="4" w:space="0" w:color="A387C3" w:themeColor="accent4" w:themeTint="99"/>
        </w:tcBorders>
      </w:tcPr>
    </w:tblStylePr>
    <w:tblStylePr w:type="nwCell">
      <w:tblPr/>
      <w:tcPr>
        <w:tcBorders>
          <w:bottom w:val="single" w:sz="4" w:space="0" w:color="A387C3" w:themeColor="accent4" w:themeTint="99"/>
        </w:tcBorders>
      </w:tcPr>
    </w:tblStylePr>
    <w:tblStylePr w:type="seCell">
      <w:tblPr/>
      <w:tcPr>
        <w:tcBorders>
          <w:top w:val="single" w:sz="4" w:space="0" w:color="A387C3" w:themeColor="accent4" w:themeTint="99"/>
        </w:tcBorders>
      </w:tcPr>
    </w:tblStylePr>
    <w:tblStylePr w:type="swCell">
      <w:tblPr/>
      <w:tcPr>
        <w:tcBorders>
          <w:top w:val="single" w:sz="4" w:space="0" w:color="A387C3" w:themeColor="accent4" w:themeTint="99"/>
        </w:tcBorders>
      </w:tcPr>
    </w:tblStylePr>
  </w:style>
  <w:style w:type="table" w:styleId="GridTable7Colorful-Accent5">
    <w:name w:val="Grid Table 7 Colorful Accent 5"/>
    <w:basedOn w:val="TableNormal"/>
    <w:uiPriority w:val="52"/>
    <w:rsid w:val="00DB706C"/>
    <w:rPr>
      <w:color w:val="005660" w:themeColor="accent5" w:themeShade="BF"/>
    </w:rPr>
    <w:tblPr>
      <w:tblStyleRowBandSize w:val="1"/>
      <w:tblStyleColBandSize w:val="1"/>
      <w:tblBorders>
        <w:top w:val="single" w:sz="4" w:space="0" w:color="1AE7FF" w:themeColor="accent5" w:themeTint="99"/>
        <w:left w:val="single" w:sz="4" w:space="0" w:color="1AE7FF" w:themeColor="accent5" w:themeTint="99"/>
        <w:bottom w:val="single" w:sz="4" w:space="0" w:color="1AE7FF" w:themeColor="accent5" w:themeTint="99"/>
        <w:right w:val="single" w:sz="4" w:space="0" w:color="1AE7FF" w:themeColor="accent5" w:themeTint="99"/>
        <w:insideH w:val="single" w:sz="4" w:space="0" w:color="1AE7FF" w:themeColor="accent5" w:themeTint="99"/>
        <w:insideV w:val="single" w:sz="4" w:space="0" w:color="1AE7F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2F7FF" w:themeFill="accent5" w:themeFillTint="33"/>
      </w:tcPr>
    </w:tblStylePr>
    <w:tblStylePr w:type="band1Horz">
      <w:tblPr/>
      <w:tcPr>
        <w:shd w:val="clear" w:color="auto" w:fill="B2F7FF" w:themeFill="accent5" w:themeFillTint="33"/>
      </w:tcPr>
    </w:tblStylePr>
    <w:tblStylePr w:type="neCell">
      <w:tblPr/>
      <w:tcPr>
        <w:tcBorders>
          <w:bottom w:val="single" w:sz="4" w:space="0" w:color="1AE7FF" w:themeColor="accent5" w:themeTint="99"/>
        </w:tcBorders>
      </w:tcPr>
    </w:tblStylePr>
    <w:tblStylePr w:type="nwCell">
      <w:tblPr/>
      <w:tcPr>
        <w:tcBorders>
          <w:bottom w:val="single" w:sz="4" w:space="0" w:color="1AE7FF" w:themeColor="accent5" w:themeTint="99"/>
        </w:tcBorders>
      </w:tcPr>
    </w:tblStylePr>
    <w:tblStylePr w:type="seCell">
      <w:tblPr/>
      <w:tcPr>
        <w:tcBorders>
          <w:top w:val="single" w:sz="4" w:space="0" w:color="1AE7FF" w:themeColor="accent5" w:themeTint="99"/>
        </w:tcBorders>
      </w:tcPr>
    </w:tblStylePr>
    <w:tblStylePr w:type="swCell">
      <w:tblPr/>
      <w:tcPr>
        <w:tcBorders>
          <w:top w:val="single" w:sz="4" w:space="0" w:color="1AE7FF" w:themeColor="accent5" w:themeTint="99"/>
        </w:tcBorders>
      </w:tcPr>
    </w:tblStylePr>
  </w:style>
  <w:style w:type="table" w:styleId="GridTable7Colorful-Accent6">
    <w:name w:val="Grid Table 7 Colorful Accent 6"/>
    <w:basedOn w:val="TableNormal"/>
    <w:uiPriority w:val="52"/>
    <w:rsid w:val="00DB706C"/>
    <w:rPr>
      <w:color w:val="34074D" w:themeColor="accent6" w:themeShade="BF"/>
    </w:rPr>
    <w:tblPr>
      <w:tblStyleRowBandSize w:val="1"/>
      <w:tblStyleColBandSize w:val="1"/>
      <w:tblBorders>
        <w:top w:val="single" w:sz="4" w:space="0" w:color="A426EA" w:themeColor="accent6" w:themeTint="99"/>
        <w:left w:val="single" w:sz="4" w:space="0" w:color="A426EA" w:themeColor="accent6" w:themeTint="99"/>
        <w:bottom w:val="single" w:sz="4" w:space="0" w:color="A426EA" w:themeColor="accent6" w:themeTint="99"/>
        <w:right w:val="single" w:sz="4" w:space="0" w:color="A426EA" w:themeColor="accent6" w:themeTint="99"/>
        <w:insideH w:val="single" w:sz="4" w:space="0" w:color="A426EA" w:themeColor="accent6" w:themeTint="99"/>
        <w:insideV w:val="single" w:sz="4" w:space="0" w:color="A426E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B6F8" w:themeFill="accent6" w:themeFillTint="33"/>
      </w:tcPr>
    </w:tblStylePr>
    <w:tblStylePr w:type="band1Horz">
      <w:tblPr/>
      <w:tcPr>
        <w:shd w:val="clear" w:color="auto" w:fill="E0B6F8" w:themeFill="accent6" w:themeFillTint="33"/>
      </w:tcPr>
    </w:tblStylePr>
    <w:tblStylePr w:type="neCell">
      <w:tblPr/>
      <w:tcPr>
        <w:tcBorders>
          <w:bottom w:val="single" w:sz="4" w:space="0" w:color="A426EA" w:themeColor="accent6" w:themeTint="99"/>
        </w:tcBorders>
      </w:tcPr>
    </w:tblStylePr>
    <w:tblStylePr w:type="nwCell">
      <w:tblPr/>
      <w:tcPr>
        <w:tcBorders>
          <w:bottom w:val="single" w:sz="4" w:space="0" w:color="A426EA" w:themeColor="accent6" w:themeTint="99"/>
        </w:tcBorders>
      </w:tcPr>
    </w:tblStylePr>
    <w:tblStylePr w:type="seCell">
      <w:tblPr/>
      <w:tcPr>
        <w:tcBorders>
          <w:top w:val="single" w:sz="4" w:space="0" w:color="A426EA" w:themeColor="accent6" w:themeTint="99"/>
        </w:tcBorders>
      </w:tcPr>
    </w:tblStylePr>
    <w:tblStylePr w:type="swCell">
      <w:tblPr/>
      <w:tcPr>
        <w:tcBorders>
          <w:top w:val="single" w:sz="4" w:space="0" w:color="A426EA" w:themeColor="accent6" w:themeTint="99"/>
        </w:tcBorders>
      </w:tcPr>
    </w:tblStylePr>
  </w:style>
  <w:style w:type="table" w:styleId="ListTable2-Accent2">
    <w:name w:val="List Table 2 Accent 2"/>
    <w:basedOn w:val="TableNormal"/>
    <w:uiPriority w:val="47"/>
    <w:rsid w:val="00DB706C"/>
    <w:tblPr>
      <w:tblStyleRowBandSize w:val="1"/>
      <w:tblStyleColBandSize w:val="1"/>
      <w:tblBorders>
        <w:top w:val="single" w:sz="4" w:space="0" w:color="4FC3FF" w:themeColor="accent2" w:themeTint="99"/>
        <w:bottom w:val="single" w:sz="4" w:space="0" w:color="4FC3FF" w:themeColor="accent2" w:themeTint="99"/>
        <w:insideH w:val="single" w:sz="4" w:space="0" w:color="4FC3FF"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4EAFF" w:themeFill="accent2" w:themeFillTint="33"/>
      </w:tcPr>
    </w:tblStylePr>
    <w:tblStylePr w:type="band1Horz">
      <w:tblPr/>
      <w:tcPr>
        <w:shd w:val="clear" w:color="auto" w:fill="C4EAFF" w:themeFill="accent2" w:themeFillTint="33"/>
      </w:tcPr>
    </w:tblStylePr>
  </w:style>
  <w:style w:type="table" w:styleId="ListTable1Light">
    <w:name w:val="List Table 1 Light"/>
    <w:basedOn w:val="TableNormal"/>
    <w:uiPriority w:val="46"/>
    <w:rsid w:val="00DB706C"/>
    <w:tblPr>
      <w:tblStyleRowBandSize w:val="1"/>
      <w:tblStyleColBandSize w:val="1"/>
    </w:tblPr>
    <w:tblStylePr w:type="firstRow">
      <w:rPr>
        <w:b/>
        <w:bCs/>
      </w:rPr>
      <w:tblPr/>
      <w:tcPr>
        <w:tcBorders>
          <w:bottom w:val="single" w:sz="4" w:space="0" w:color="6897DE" w:themeColor="text1" w:themeTint="99"/>
        </w:tcBorders>
      </w:tcPr>
    </w:tblStylePr>
    <w:tblStylePr w:type="lastRow">
      <w:rPr>
        <w:b/>
        <w:bCs/>
      </w:rPr>
      <w:tblPr/>
      <w:tcPr>
        <w:tcBorders>
          <w:top w:val="single" w:sz="4" w:space="0" w:color="6897DE" w:themeColor="text1" w:themeTint="99"/>
        </w:tcBorders>
      </w:tcPr>
    </w:tblStylePr>
    <w:tblStylePr w:type="firstCol">
      <w:rPr>
        <w:b/>
        <w:bCs/>
      </w:rPr>
    </w:tblStylePr>
    <w:tblStylePr w:type="lastCol">
      <w:rPr>
        <w:b/>
        <w:bCs/>
      </w:rPr>
    </w:tblStylePr>
    <w:tblStylePr w:type="band1Vert">
      <w:tblPr/>
      <w:tcPr>
        <w:shd w:val="clear" w:color="auto" w:fill="CCDCF4" w:themeFill="text1" w:themeFillTint="33"/>
      </w:tcPr>
    </w:tblStylePr>
    <w:tblStylePr w:type="band1Horz">
      <w:tblPr/>
      <w:tcPr>
        <w:shd w:val="clear" w:color="auto" w:fill="CCDCF4" w:themeFill="text1" w:themeFillTint="33"/>
      </w:tcPr>
    </w:tblStylePr>
  </w:style>
  <w:style w:type="table" w:styleId="ListTable1Light-Accent2">
    <w:name w:val="List Table 1 Light Accent 2"/>
    <w:basedOn w:val="TableNormal"/>
    <w:uiPriority w:val="46"/>
    <w:rsid w:val="00DB706C"/>
    <w:tblPr>
      <w:tblStyleRowBandSize w:val="1"/>
      <w:tblStyleColBandSize w:val="1"/>
    </w:tblPr>
    <w:tblStylePr w:type="firstRow">
      <w:rPr>
        <w:b/>
        <w:bCs/>
      </w:rPr>
      <w:tblPr/>
      <w:tcPr>
        <w:tcBorders>
          <w:bottom w:val="single" w:sz="4" w:space="0" w:color="4FC3FF" w:themeColor="accent2" w:themeTint="99"/>
        </w:tcBorders>
      </w:tcPr>
    </w:tblStylePr>
    <w:tblStylePr w:type="lastRow">
      <w:rPr>
        <w:b/>
        <w:bCs/>
      </w:rPr>
      <w:tblPr/>
      <w:tcPr>
        <w:tcBorders>
          <w:top w:val="single" w:sz="4" w:space="0" w:color="4FC3FF" w:themeColor="accent2" w:themeTint="99"/>
        </w:tcBorders>
      </w:tcPr>
    </w:tblStylePr>
    <w:tblStylePr w:type="firstCol">
      <w:rPr>
        <w:b/>
        <w:bCs/>
      </w:rPr>
    </w:tblStylePr>
    <w:tblStylePr w:type="lastCol">
      <w:rPr>
        <w:b/>
        <w:bCs/>
      </w:rPr>
    </w:tblStylePr>
    <w:tblStylePr w:type="band1Vert">
      <w:tblPr/>
      <w:tcPr>
        <w:shd w:val="clear" w:color="auto" w:fill="C4EAFF" w:themeFill="accent2" w:themeFillTint="33"/>
      </w:tcPr>
    </w:tblStylePr>
    <w:tblStylePr w:type="band1Horz">
      <w:tblPr/>
      <w:tcPr>
        <w:shd w:val="clear" w:color="auto" w:fill="C4EAFF" w:themeFill="accent2" w:themeFillTint="33"/>
      </w:tcPr>
    </w:tblStylePr>
  </w:style>
  <w:style w:type="table" w:styleId="ListTable4">
    <w:name w:val="List Table 4"/>
    <w:basedOn w:val="TableNormal"/>
    <w:uiPriority w:val="49"/>
    <w:rsid w:val="00DB706C"/>
    <w:tblPr>
      <w:tblStyleRowBandSize w:val="1"/>
      <w:tblStyleColBandSize w:val="1"/>
      <w:tblBorders>
        <w:top w:val="single" w:sz="4" w:space="0" w:color="6897DE" w:themeColor="text1" w:themeTint="99"/>
        <w:left w:val="single" w:sz="4" w:space="0" w:color="6897DE" w:themeColor="text1" w:themeTint="99"/>
        <w:bottom w:val="single" w:sz="4" w:space="0" w:color="6897DE" w:themeColor="text1" w:themeTint="99"/>
        <w:right w:val="single" w:sz="4" w:space="0" w:color="6897DE" w:themeColor="text1" w:themeTint="99"/>
        <w:insideH w:val="single" w:sz="4" w:space="0" w:color="6897DE" w:themeColor="text1" w:themeTint="99"/>
      </w:tblBorders>
    </w:tblPr>
    <w:tblStylePr w:type="firstRow">
      <w:rPr>
        <w:b/>
        <w:bCs/>
        <w:color w:val="FFFFFF" w:themeColor="background1"/>
      </w:rPr>
      <w:tblPr/>
      <w:tcPr>
        <w:tcBorders>
          <w:top w:val="single" w:sz="4" w:space="0" w:color="2459A9" w:themeColor="text1"/>
          <w:left w:val="single" w:sz="4" w:space="0" w:color="2459A9" w:themeColor="text1"/>
          <w:bottom w:val="single" w:sz="4" w:space="0" w:color="2459A9" w:themeColor="text1"/>
          <w:right w:val="single" w:sz="4" w:space="0" w:color="2459A9" w:themeColor="text1"/>
          <w:insideH w:val="nil"/>
        </w:tcBorders>
        <w:shd w:val="clear" w:color="auto" w:fill="2459A9" w:themeFill="text1"/>
      </w:tcPr>
    </w:tblStylePr>
    <w:tblStylePr w:type="lastRow">
      <w:rPr>
        <w:b/>
        <w:bCs/>
      </w:rPr>
      <w:tblPr/>
      <w:tcPr>
        <w:tcBorders>
          <w:top w:val="double" w:sz="4" w:space="0" w:color="6897DE" w:themeColor="text1" w:themeTint="99"/>
        </w:tcBorders>
      </w:tcPr>
    </w:tblStylePr>
    <w:tblStylePr w:type="firstCol">
      <w:rPr>
        <w:b/>
        <w:bCs/>
      </w:rPr>
    </w:tblStylePr>
    <w:tblStylePr w:type="lastCol">
      <w:rPr>
        <w:b/>
        <w:bCs/>
      </w:rPr>
    </w:tblStylePr>
    <w:tblStylePr w:type="band1Vert">
      <w:tblPr/>
      <w:tcPr>
        <w:shd w:val="clear" w:color="auto" w:fill="CCDCF4" w:themeFill="text1" w:themeFillTint="33"/>
      </w:tcPr>
    </w:tblStylePr>
    <w:tblStylePr w:type="band1Horz">
      <w:tblPr/>
      <w:tcPr>
        <w:shd w:val="clear" w:color="auto" w:fill="CCDCF4" w:themeFill="text1" w:themeFillTint="33"/>
      </w:tcPr>
    </w:tblStylePr>
  </w:style>
  <w:style w:type="table" w:styleId="ListTable3-Accent6">
    <w:name w:val="List Table 3 Accent 6"/>
    <w:basedOn w:val="TableNormal"/>
    <w:uiPriority w:val="48"/>
    <w:rsid w:val="00DB706C"/>
    <w:tblPr>
      <w:tblStyleRowBandSize w:val="1"/>
      <w:tblStyleColBandSize w:val="1"/>
      <w:tblBorders>
        <w:top w:val="single" w:sz="4" w:space="0" w:color="470A68" w:themeColor="accent6"/>
        <w:left w:val="single" w:sz="4" w:space="0" w:color="470A68" w:themeColor="accent6"/>
        <w:bottom w:val="single" w:sz="4" w:space="0" w:color="470A68" w:themeColor="accent6"/>
        <w:right w:val="single" w:sz="4" w:space="0" w:color="470A68" w:themeColor="accent6"/>
      </w:tblBorders>
    </w:tblPr>
    <w:tblStylePr w:type="firstRow">
      <w:rPr>
        <w:b/>
        <w:bCs/>
        <w:color w:val="FFFFFF" w:themeColor="background1"/>
      </w:rPr>
      <w:tblPr/>
      <w:tcPr>
        <w:shd w:val="clear" w:color="auto" w:fill="470A68" w:themeFill="accent6"/>
      </w:tcPr>
    </w:tblStylePr>
    <w:tblStylePr w:type="lastRow">
      <w:rPr>
        <w:b/>
        <w:bCs/>
      </w:rPr>
      <w:tblPr/>
      <w:tcPr>
        <w:tcBorders>
          <w:top w:val="double" w:sz="4" w:space="0" w:color="470A68"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70A68" w:themeColor="accent6"/>
          <w:right w:val="single" w:sz="4" w:space="0" w:color="470A68" w:themeColor="accent6"/>
        </w:tcBorders>
      </w:tcPr>
    </w:tblStylePr>
    <w:tblStylePr w:type="band1Horz">
      <w:tblPr/>
      <w:tcPr>
        <w:tcBorders>
          <w:top w:val="single" w:sz="4" w:space="0" w:color="470A68" w:themeColor="accent6"/>
          <w:bottom w:val="single" w:sz="4" w:space="0" w:color="470A68"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70A68" w:themeColor="accent6"/>
          <w:left w:val="nil"/>
        </w:tcBorders>
      </w:tcPr>
    </w:tblStylePr>
    <w:tblStylePr w:type="swCell">
      <w:tblPr/>
      <w:tcPr>
        <w:tcBorders>
          <w:top w:val="double" w:sz="4" w:space="0" w:color="470A68" w:themeColor="accent6"/>
          <w:right w:val="nil"/>
        </w:tcBorders>
      </w:tcPr>
    </w:tblStylePr>
  </w:style>
  <w:style w:type="table" w:styleId="ListTable3-Accent5">
    <w:name w:val="List Table 3 Accent 5"/>
    <w:basedOn w:val="TableNormal"/>
    <w:uiPriority w:val="48"/>
    <w:rsid w:val="00DB706C"/>
    <w:tblPr>
      <w:tblStyleRowBandSize w:val="1"/>
      <w:tblStyleColBandSize w:val="1"/>
      <w:tblBorders>
        <w:top w:val="single" w:sz="4" w:space="0" w:color="007481" w:themeColor="accent5"/>
        <w:left w:val="single" w:sz="4" w:space="0" w:color="007481" w:themeColor="accent5"/>
        <w:bottom w:val="single" w:sz="4" w:space="0" w:color="007481" w:themeColor="accent5"/>
        <w:right w:val="single" w:sz="4" w:space="0" w:color="007481" w:themeColor="accent5"/>
      </w:tblBorders>
    </w:tblPr>
    <w:tblStylePr w:type="firstRow">
      <w:rPr>
        <w:b/>
        <w:bCs/>
        <w:color w:val="FFFFFF" w:themeColor="background1"/>
      </w:rPr>
      <w:tblPr/>
      <w:tcPr>
        <w:shd w:val="clear" w:color="auto" w:fill="007481" w:themeFill="accent5"/>
      </w:tcPr>
    </w:tblStylePr>
    <w:tblStylePr w:type="lastRow">
      <w:rPr>
        <w:b/>
        <w:bCs/>
      </w:rPr>
      <w:tblPr/>
      <w:tcPr>
        <w:tcBorders>
          <w:top w:val="double" w:sz="4" w:space="0" w:color="007481"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481" w:themeColor="accent5"/>
          <w:right w:val="single" w:sz="4" w:space="0" w:color="007481" w:themeColor="accent5"/>
        </w:tcBorders>
      </w:tcPr>
    </w:tblStylePr>
    <w:tblStylePr w:type="band1Horz">
      <w:tblPr/>
      <w:tcPr>
        <w:tcBorders>
          <w:top w:val="single" w:sz="4" w:space="0" w:color="007481" w:themeColor="accent5"/>
          <w:bottom w:val="single" w:sz="4" w:space="0" w:color="007481"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481" w:themeColor="accent5"/>
          <w:left w:val="nil"/>
        </w:tcBorders>
      </w:tcPr>
    </w:tblStylePr>
    <w:tblStylePr w:type="swCell">
      <w:tblPr/>
      <w:tcPr>
        <w:tcBorders>
          <w:top w:val="double" w:sz="4" w:space="0" w:color="007481" w:themeColor="accent5"/>
          <w:right w:val="nil"/>
        </w:tcBorders>
      </w:tcPr>
    </w:tblStylePr>
  </w:style>
  <w:style w:type="table" w:styleId="GridTable5Dark-Accent4">
    <w:name w:val="Grid Table 5 Dark Accent 4"/>
    <w:basedOn w:val="TableNormal"/>
    <w:uiPriority w:val="50"/>
    <w:rsid w:val="00DB706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D7EB"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8478D"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8478D"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8478D"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8478D" w:themeFill="accent4"/>
      </w:tcPr>
    </w:tblStylePr>
    <w:tblStylePr w:type="band1Vert">
      <w:tblPr/>
      <w:tcPr>
        <w:shd w:val="clear" w:color="auto" w:fill="C2AFD7" w:themeFill="accent4" w:themeFillTint="66"/>
      </w:tcPr>
    </w:tblStylePr>
    <w:tblStylePr w:type="band1Horz">
      <w:tblPr/>
      <w:tcPr>
        <w:shd w:val="clear" w:color="auto" w:fill="C2AFD7" w:themeFill="accent4" w:themeFillTint="66"/>
      </w:tcPr>
    </w:tblStylePr>
  </w:style>
  <w:style w:type="paragraph" w:styleId="BodyText">
    <w:name w:val="Body Text"/>
    <w:link w:val="BodyTextChar1"/>
    <w:rsid w:val="00034603"/>
    <w:pPr>
      <w:spacing w:before="120" w:after="120"/>
      <w:ind w:left="794"/>
      <w:jc w:val="both"/>
    </w:pPr>
    <w:rPr>
      <w:rFonts w:ascii="Arial" w:eastAsia="Times New Roman" w:hAnsi="Arial" w:cs="Arial"/>
      <w:sz w:val="20"/>
      <w:lang w:val="en-AU"/>
    </w:rPr>
  </w:style>
  <w:style w:type="character" w:customStyle="1" w:styleId="BodyTextChar">
    <w:name w:val="Body Text Char"/>
    <w:basedOn w:val="DefaultParagraphFont"/>
    <w:uiPriority w:val="99"/>
    <w:semiHidden/>
    <w:rsid w:val="00034603"/>
  </w:style>
  <w:style w:type="character" w:customStyle="1" w:styleId="BodyTextChar1">
    <w:name w:val="Body Text Char1"/>
    <w:link w:val="BodyText"/>
    <w:rsid w:val="00034603"/>
    <w:rPr>
      <w:rFonts w:ascii="Arial" w:eastAsia="Times New Roman" w:hAnsi="Arial" w:cs="Arial"/>
      <w:sz w:val="20"/>
      <w:lang w:val="en-AU"/>
    </w:rPr>
  </w:style>
  <w:style w:type="paragraph" w:styleId="ListParagraph">
    <w:name w:val="List Paragraph"/>
    <w:basedOn w:val="Normal"/>
    <w:uiPriority w:val="34"/>
    <w:qFormat/>
    <w:rsid w:val="004E677B"/>
    <w:pPr>
      <w:ind w:left="720"/>
      <w:contextualSpacing/>
    </w:pPr>
  </w:style>
  <w:style w:type="paragraph" w:styleId="Caption">
    <w:name w:val="caption"/>
    <w:basedOn w:val="Normal"/>
    <w:next w:val="Normal"/>
    <w:unhideWhenUsed/>
    <w:qFormat/>
    <w:rsid w:val="004E677B"/>
    <w:pPr>
      <w:spacing w:after="200"/>
    </w:pPr>
    <w:rPr>
      <w:i/>
      <w:iCs/>
      <w:color w:val="262B67" w:themeColor="text2"/>
      <w:sz w:val="18"/>
      <w:szCs w:val="18"/>
    </w:rPr>
  </w:style>
  <w:style w:type="paragraph" w:customStyle="1" w:styleId="BodyText-List">
    <w:name w:val="Body Text - List"/>
    <w:rsid w:val="00FA7721"/>
    <w:pPr>
      <w:numPr>
        <w:numId w:val="22"/>
      </w:numPr>
      <w:spacing w:after="120"/>
      <w:jc w:val="both"/>
    </w:pPr>
    <w:rPr>
      <w:rFonts w:ascii="Arial" w:eastAsia="Times New Roman" w:hAnsi="Arial" w:cs="Arial"/>
      <w:sz w:val="20"/>
      <w:lang w:val="en-AU"/>
    </w:rPr>
  </w:style>
  <w:style w:type="paragraph" w:styleId="NormalWeb">
    <w:name w:val="Normal (Web)"/>
    <w:basedOn w:val="Normal"/>
    <w:semiHidden/>
    <w:rsid w:val="00FA7721"/>
    <w:pPr>
      <w:spacing w:after="0"/>
    </w:pPr>
    <w:rPr>
      <w:rFonts w:ascii="Times New Roman" w:eastAsia="Times New Roman" w:hAnsi="Times New Roman" w:cs="Times New Roman"/>
      <w:color w:val="FF0000"/>
      <w:u w:val="single"/>
      <w:lang w:val="en-AU" w:eastAsia="en-AU"/>
    </w:rPr>
  </w:style>
  <w:style w:type="character" w:customStyle="1" w:styleId="Tablecolour">
    <w:name w:val="Table colour"/>
    <w:rsid w:val="00143E0C"/>
    <w:rPr>
      <w:rFonts w:ascii="Arial Narrow" w:hAnsi="Arial Narrow" w:cs="Arial"/>
      <w:b/>
      <w:bCs/>
      <w:color w:val="095183"/>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00493">
      <w:bodyDiv w:val="1"/>
      <w:marLeft w:val="0"/>
      <w:marRight w:val="0"/>
      <w:marTop w:val="0"/>
      <w:marBottom w:val="0"/>
      <w:divBdr>
        <w:top w:val="none" w:sz="0" w:space="0" w:color="auto"/>
        <w:left w:val="none" w:sz="0" w:space="0" w:color="auto"/>
        <w:bottom w:val="none" w:sz="0" w:space="0" w:color="auto"/>
        <w:right w:val="none" w:sz="0" w:space="0" w:color="auto"/>
      </w:divBdr>
    </w:div>
    <w:div w:id="63989601">
      <w:bodyDiv w:val="1"/>
      <w:marLeft w:val="0"/>
      <w:marRight w:val="0"/>
      <w:marTop w:val="0"/>
      <w:marBottom w:val="0"/>
      <w:divBdr>
        <w:top w:val="none" w:sz="0" w:space="0" w:color="auto"/>
        <w:left w:val="none" w:sz="0" w:space="0" w:color="auto"/>
        <w:bottom w:val="none" w:sz="0" w:space="0" w:color="auto"/>
        <w:right w:val="none" w:sz="0" w:space="0" w:color="auto"/>
      </w:divBdr>
    </w:div>
    <w:div w:id="133503500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er4.xml.rels><?xml version="1.0" encoding="UTF-8" standalone="yes"?>
<Relationships xmlns="http://schemas.openxmlformats.org/package/2006/relationships"><Relationship Id="rId1" Type="http://schemas.openxmlformats.org/officeDocument/2006/relationships/image" Target="media/image3.jpeg"/></Relationships>
</file>

<file path=word/_rels/footer5.xml.rels><?xml version="1.0" encoding="UTF-8" standalone="yes"?>
<Relationships xmlns="http://schemas.openxmlformats.org/package/2006/relationships"><Relationship Id="rId1" Type="http://schemas.openxmlformats.org/officeDocument/2006/relationships/image" Target="media/image3.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_rels/header5.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VCGLR 2020 new branding palette">
      <a:dk1>
        <a:srgbClr val="2459A9"/>
      </a:dk1>
      <a:lt1>
        <a:srgbClr val="FFFFFF"/>
      </a:lt1>
      <a:dk2>
        <a:srgbClr val="262B67"/>
      </a:dk2>
      <a:lt2>
        <a:srgbClr val="FFFFFF"/>
      </a:lt2>
      <a:accent1>
        <a:srgbClr val="3CAE49"/>
      </a:accent1>
      <a:accent2>
        <a:srgbClr val="0090DA"/>
      </a:accent2>
      <a:accent3>
        <a:srgbClr val="E74F3C"/>
      </a:accent3>
      <a:accent4>
        <a:srgbClr val="68478D"/>
      </a:accent4>
      <a:accent5>
        <a:srgbClr val="007481"/>
      </a:accent5>
      <a:accent6>
        <a:srgbClr val="470A68"/>
      </a:accent6>
      <a:hlink>
        <a:srgbClr val="004C97"/>
      </a:hlink>
      <a:folHlink>
        <a:srgbClr val="003F54"/>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924E97-DF70-48D6-8E16-61C608EAF5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3061</Words>
  <Characters>19101</Characters>
  <Application>Microsoft Office Word</Application>
  <DocSecurity>0</DocSecurity>
  <Lines>360</Lines>
  <Paragraphs>325</Paragraphs>
  <ScaleCrop>false</ScaleCrop>
  <HeadingPairs>
    <vt:vector size="2" baseType="variant">
      <vt:variant>
        <vt:lpstr>Title</vt:lpstr>
      </vt:variant>
      <vt:variant>
        <vt:i4>1</vt:i4>
      </vt:variant>
    </vt:vector>
  </HeadingPairs>
  <TitlesOfParts>
    <vt:vector size="1" baseType="lpstr">
      <vt:lpstr>VCGLR_report_generic_sections.docx</vt:lpstr>
    </vt:vector>
  </TitlesOfParts>
  <Company/>
  <LinksUpToDate>false</LinksUpToDate>
  <CharactersWithSpaces>21837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VCGLR_report_generic_sections.docx</dc:title>
  <dc:subject/>
  <dc:creator>Brooke Wilson</dc:creator>
  <cp:keywords/>
  <dc:description/>
  <cp:lastModifiedBy>Johanna Schlesinger</cp:lastModifiedBy>
  <cp:revision>3</cp:revision>
  <dcterms:created xsi:type="dcterms:W3CDTF">2021-01-14T06:13:00Z</dcterms:created>
  <dcterms:modified xsi:type="dcterms:W3CDTF">2021-01-15T03:44:00Z</dcterms:modified>
</cp:coreProperties>
</file>